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0ABD" w14:textId="3F26ECB5" w:rsidR="0003571F" w:rsidRDefault="0003571F" w:rsidP="005A5F16">
      <w:pPr>
        <w:widowControl w:val="0"/>
        <w:jc w:val="center"/>
        <w:rPr>
          <w:rFonts w:ascii="DilleniaUPC" w:hAnsi="DilleniaUPC" w:cs="DilleniaUPC"/>
          <w:b/>
          <w:bCs/>
          <w:sz w:val="30"/>
          <w:szCs w:val="30"/>
        </w:rPr>
      </w:pPr>
      <w:bookmarkStart w:id="0" w:name="_Hlk170309532"/>
    </w:p>
    <w:p w14:paraId="27BC12DC" w14:textId="1659440B" w:rsidR="00A1547C" w:rsidRPr="00ED00B1" w:rsidRDefault="00A94244" w:rsidP="005A5F16">
      <w:pPr>
        <w:widowControl w:val="0"/>
        <w:jc w:val="center"/>
        <w:rPr>
          <w:rFonts w:ascii="DilleniaUPC" w:hAnsi="DilleniaUPC" w:cs="DilleniaUPC"/>
          <w:b/>
          <w:bCs/>
          <w:sz w:val="30"/>
          <w:szCs w:val="30"/>
        </w:rPr>
      </w:pPr>
      <w:bookmarkStart w:id="1" w:name="_Hlk175758491"/>
      <w:r w:rsidRPr="00ED00B1">
        <w:rPr>
          <w:rFonts w:ascii="DilleniaUPC" w:hAnsi="DilleniaUPC" w:cs="DilleniaUPC"/>
          <w:b/>
          <w:bCs/>
          <w:sz w:val="30"/>
          <w:szCs w:val="30"/>
          <w:cs/>
        </w:rPr>
        <w:t>แนวทางการปฏิบัติงาน</w:t>
      </w:r>
    </w:p>
    <w:p w14:paraId="2C620192" w14:textId="79AB99C4" w:rsidR="00E24908" w:rsidRPr="00ED00B1" w:rsidRDefault="00E24908" w:rsidP="005A5F16">
      <w:pPr>
        <w:widowControl w:val="0"/>
        <w:jc w:val="center"/>
        <w:rPr>
          <w:rFonts w:ascii="DilleniaUPC" w:hAnsi="DilleniaUPC" w:cs="DilleniaUPC"/>
          <w:b/>
          <w:bCs/>
          <w:sz w:val="30"/>
          <w:szCs w:val="30"/>
          <w:cs/>
        </w:rPr>
      </w:pPr>
      <w:r w:rsidRPr="00ED00B1">
        <w:rPr>
          <w:rFonts w:ascii="DilleniaUPC" w:hAnsi="DilleniaUPC" w:cs="DilleniaUPC"/>
          <w:b/>
          <w:bCs/>
          <w:sz w:val="30"/>
          <w:szCs w:val="30"/>
          <w:cs/>
        </w:rPr>
        <w:t xml:space="preserve">เรื่อง </w:t>
      </w:r>
      <w:bookmarkStart w:id="2" w:name="_Hlk170309502"/>
      <w:r w:rsidRPr="00ED00B1">
        <w:rPr>
          <w:rFonts w:ascii="DilleniaUPC" w:hAnsi="DilleniaUPC" w:cs="DilleniaUPC"/>
          <w:b/>
          <w:bCs/>
          <w:sz w:val="30"/>
          <w:szCs w:val="30"/>
          <w:cs/>
        </w:rPr>
        <w:t>การพิจารณากำหนดวงเงินซื้อขายหลักทรัพย์ของลูกค้า</w:t>
      </w:r>
      <w:bookmarkEnd w:id="2"/>
    </w:p>
    <w:bookmarkEnd w:id="0"/>
    <w:bookmarkEnd w:id="1"/>
    <w:p w14:paraId="0E725D6F" w14:textId="32ABC079" w:rsidR="00B956D4" w:rsidRPr="00ED00B1" w:rsidRDefault="00B956D4" w:rsidP="005A5F16">
      <w:pPr>
        <w:widowControl w:val="0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ED00B1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14:paraId="5477361A" w14:textId="10540F00" w:rsidR="00923183" w:rsidRPr="00ED00B1" w:rsidRDefault="00923183" w:rsidP="00620333">
      <w:pPr>
        <w:widowControl w:val="0"/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 xml:space="preserve">เพื่อเป็นการกำหนดมาตรฐานการปฏิบัติงานของสมาชิกในการพิจารณากำหนดวงเงินซื้อขายหลักทรัพย์ของลูกค้ารายย่อยให้เป็นไปอย่างเหมาะสมและมีประสิทธิภาพ </w:t>
      </w:r>
    </w:p>
    <w:p w14:paraId="7C6367EC" w14:textId="758E125C" w:rsidR="00923183" w:rsidRPr="00ED00B1" w:rsidRDefault="002F7957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rFonts w:hint="cs"/>
          <w:color w:val="auto"/>
          <w:sz w:val="30"/>
          <w:szCs w:val="30"/>
          <w:cs/>
        </w:rPr>
        <w:t>อาศัยอำนาจตาม</w:t>
      </w:r>
      <w:r w:rsidR="00923183" w:rsidRPr="00ED00B1">
        <w:rPr>
          <w:color w:val="auto"/>
          <w:sz w:val="30"/>
          <w:szCs w:val="30"/>
          <w:cs/>
        </w:rPr>
        <w:t xml:space="preserve">ประกาศคณะกรรมการกำกับตลาดทุน ที่ ทธ. </w:t>
      </w:r>
      <w:r w:rsidR="00923183" w:rsidRPr="00ED00B1">
        <w:rPr>
          <w:color w:val="auto"/>
          <w:sz w:val="30"/>
          <w:szCs w:val="30"/>
        </w:rPr>
        <w:t>35</w:t>
      </w:r>
      <w:r w:rsidR="00923183" w:rsidRPr="00ED00B1">
        <w:rPr>
          <w:color w:val="auto"/>
          <w:sz w:val="30"/>
          <w:szCs w:val="30"/>
          <w:cs/>
        </w:rPr>
        <w:t>/</w:t>
      </w:r>
      <w:r w:rsidR="00923183" w:rsidRPr="00ED00B1">
        <w:rPr>
          <w:color w:val="auto"/>
          <w:sz w:val="30"/>
          <w:szCs w:val="30"/>
        </w:rPr>
        <w:t xml:space="preserve">2556 </w:t>
      </w:r>
      <w:r w:rsidR="00923183" w:rsidRPr="00ED00B1">
        <w:rPr>
          <w:color w:val="auto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</w:t>
      </w:r>
      <w:r w:rsidR="00D6679A" w:rsidRPr="00ED00B1">
        <w:rPr>
          <w:rFonts w:hint="cs"/>
          <w:color w:val="auto"/>
          <w:sz w:val="30"/>
          <w:szCs w:val="30"/>
          <w:cs/>
        </w:rPr>
        <w:t>และการให้บริ</w:t>
      </w:r>
      <w:r w:rsidR="00B84B18" w:rsidRPr="00ED00B1">
        <w:rPr>
          <w:rFonts w:hint="cs"/>
          <w:color w:val="auto"/>
          <w:sz w:val="30"/>
          <w:szCs w:val="30"/>
          <w:cs/>
        </w:rPr>
        <w:t>การของผู้ประกอบธุรกิจหลักทรัพย์</w:t>
      </w:r>
      <w:r w:rsidR="00D6679A" w:rsidRPr="00ED00B1">
        <w:rPr>
          <w:rFonts w:hint="cs"/>
          <w:color w:val="auto"/>
          <w:sz w:val="30"/>
          <w:szCs w:val="30"/>
          <w:cs/>
        </w:rPr>
        <w:t>และ</w:t>
      </w:r>
      <w:r w:rsidR="00A47AB8" w:rsidRPr="00ED00B1">
        <w:rPr>
          <w:rFonts w:hint="cs"/>
          <w:color w:val="auto"/>
          <w:sz w:val="30"/>
          <w:szCs w:val="30"/>
          <w:cs/>
        </w:rPr>
        <w:t>ผู้ประกอบ</w:t>
      </w:r>
      <w:r w:rsidR="00D6679A" w:rsidRPr="00ED00B1">
        <w:rPr>
          <w:rFonts w:hint="cs"/>
          <w:color w:val="auto"/>
          <w:sz w:val="30"/>
          <w:szCs w:val="30"/>
          <w:cs/>
        </w:rPr>
        <w:t>ธุรกิจสัญญาซื้อขายล่วงหน้า ข้อ</w:t>
      </w:r>
      <w:r w:rsidR="00CD7B79" w:rsidRPr="00ED00B1">
        <w:rPr>
          <w:rFonts w:hint="cs"/>
          <w:color w:val="auto"/>
          <w:sz w:val="30"/>
          <w:szCs w:val="30"/>
          <w:cs/>
        </w:rPr>
        <w:t xml:space="preserve"> </w:t>
      </w:r>
      <w:r w:rsidR="00CD7B79" w:rsidRPr="00ED00B1">
        <w:rPr>
          <w:color w:val="auto"/>
          <w:sz w:val="30"/>
          <w:szCs w:val="30"/>
        </w:rPr>
        <w:t>9</w:t>
      </w:r>
      <w:r w:rsidR="00923183" w:rsidRPr="00ED00B1">
        <w:rPr>
          <w:color w:val="auto"/>
          <w:sz w:val="30"/>
          <w:szCs w:val="30"/>
          <w:cs/>
        </w:rPr>
        <w:t xml:space="preserve"> </w:t>
      </w:r>
      <w:r w:rsidR="009D08C0" w:rsidRPr="00ED00B1">
        <w:rPr>
          <w:color w:val="auto"/>
          <w:sz w:val="30"/>
          <w:szCs w:val="30"/>
          <w:cs/>
        </w:rPr>
        <w:t>โดยความเห็นชอบ</w:t>
      </w:r>
      <w:r w:rsidR="005010EF" w:rsidRPr="00ED00B1">
        <w:rPr>
          <w:rFonts w:hint="cs"/>
          <w:color w:val="auto"/>
          <w:sz w:val="30"/>
          <w:szCs w:val="30"/>
          <w:cs/>
        </w:rPr>
        <w:t>ของ</w:t>
      </w:r>
      <w:r w:rsidR="009D08C0" w:rsidRPr="00ED00B1">
        <w:rPr>
          <w:rFonts w:hint="cs"/>
          <w:color w:val="auto"/>
          <w:sz w:val="30"/>
          <w:szCs w:val="30"/>
          <w:cs/>
        </w:rPr>
        <w:t>สำนักงานคณะกรรมการกำกับหลักทรัพย์และตลาดหลักทรัพย์</w:t>
      </w:r>
      <w:r w:rsidR="00923183" w:rsidRPr="00ED00B1">
        <w:rPr>
          <w:color w:val="auto"/>
          <w:sz w:val="30"/>
          <w:szCs w:val="30"/>
          <w:cs/>
        </w:rPr>
        <w:t xml:space="preserve"> สมาคมบริษัทหลักทรัพย์ไทย จึงกำหนดแนวทางการปฏิบัติงาน เรื่อง การพิจารณากำหนดวงเงินซื้อขายหลักทรัพย์ของลูกค้า </w:t>
      </w:r>
      <w:r w:rsidR="00CF3EA3" w:rsidRPr="00ED00B1">
        <w:rPr>
          <w:color w:val="auto"/>
          <w:sz w:val="30"/>
          <w:szCs w:val="30"/>
        </w:rPr>
        <w:br/>
      </w:r>
      <w:r w:rsidR="00923183" w:rsidRPr="00ED00B1">
        <w:rPr>
          <w:color w:val="auto"/>
          <w:sz w:val="30"/>
          <w:szCs w:val="30"/>
          <w:cs/>
        </w:rPr>
        <w:t xml:space="preserve">เพื่อให้สมาชิกสมาคมถือปฏิบัติ ดังนี้ </w:t>
      </w:r>
    </w:p>
    <w:p w14:paraId="150E8365" w14:textId="08AE97B8" w:rsidR="007045C1" w:rsidRPr="00ED00B1" w:rsidRDefault="005571B8" w:rsidP="00620333">
      <w:pPr>
        <w:pStyle w:val="Default"/>
        <w:widowControl w:val="0"/>
        <w:tabs>
          <w:tab w:val="left" w:pos="1276"/>
        </w:tabs>
        <w:spacing w:before="8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 xml:space="preserve">ข้อ </w:t>
      </w:r>
      <w:r w:rsidR="000B1DA1" w:rsidRPr="00ED00B1">
        <w:rPr>
          <w:color w:val="auto"/>
          <w:sz w:val="30"/>
          <w:szCs w:val="30"/>
        </w:rPr>
        <w:t>1</w:t>
      </w:r>
      <w:r w:rsidR="00A45B9A" w:rsidRPr="00ED00B1">
        <w:rPr>
          <w:color w:val="auto"/>
          <w:sz w:val="30"/>
          <w:szCs w:val="30"/>
          <w:cs/>
        </w:rPr>
        <w:tab/>
      </w:r>
      <w:r w:rsidR="00E94235" w:rsidRPr="00ED00B1">
        <w:rPr>
          <w:color w:val="auto"/>
          <w:sz w:val="30"/>
          <w:szCs w:val="30"/>
          <w:cs/>
        </w:rPr>
        <w:t>ให้ยกเลิก</w:t>
      </w:r>
      <w:r w:rsidR="005010EF" w:rsidRPr="00ED00B1">
        <w:rPr>
          <w:color w:val="auto"/>
          <w:sz w:val="30"/>
          <w:szCs w:val="30"/>
          <w:cs/>
        </w:rPr>
        <w:t xml:space="preserve"> </w:t>
      </w:r>
    </w:p>
    <w:p w14:paraId="0C96B8D5" w14:textId="5FB38071" w:rsidR="00923183" w:rsidRPr="00ED00B1" w:rsidRDefault="00E94235" w:rsidP="005A5F16">
      <w:pPr>
        <w:pStyle w:val="Default"/>
        <w:widowControl w:val="0"/>
        <w:numPr>
          <w:ilvl w:val="0"/>
          <w:numId w:val="6"/>
        </w:numPr>
        <w:tabs>
          <w:tab w:val="left" w:pos="1701"/>
        </w:tabs>
        <w:ind w:left="0" w:firstLine="1276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>แนวทาง</w:t>
      </w:r>
      <w:r w:rsidR="005010EF" w:rsidRPr="00ED00B1">
        <w:rPr>
          <w:rFonts w:hint="cs"/>
          <w:color w:val="auto"/>
          <w:sz w:val="30"/>
          <w:szCs w:val="30"/>
          <w:cs/>
        </w:rPr>
        <w:t>การ</w:t>
      </w:r>
      <w:r w:rsidRPr="00ED00B1">
        <w:rPr>
          <w:color w:val="auto"/>
          <w:sz w:val="30"/>
          <w:szCs w:val="30"/>
          <w:cs/>
        </w:rPr>
        <w:t>ปฏิบัติ</w:t>
      </w:r>
      <w:r w:rsidR="0081184D" w:rsidRPr="00ED00B1">
        <w:rPr>
          <w:color w:val="auto"/>
          <w:sz w:val="30"/>
          <w:szCs w:val="30"/>
          <w:cs/>
        </w:rPr>
        <w:t>งาน</w:t>
      </w:r>
      <w:r w:rsidR="005010EF" w:rsidRPr="00ED00B1">
        <w:rPr>
          <w:rFonts w:hint="cs"/>
          <w:color w:val="auto"/>
          <w:sz w:val="30"/>
          <w:szCs w:val="30"/>
          <w:cs/>
        </w:rPr>
        <w:t xml:space="preserve"> เรื่อง การพิจารณากำหนดวงเงินซื้อขาย</w:t>
      </w:r>
      <w:r w:rsidR="0081184D" w:rsidRPr="00ED00B1">
        <w:rPr>
          <w:color w:val="auto"/>
          <w:sz w:val="30"/>
          <w:szCs w:val="30"/>
          <w:cs/>
        </w:rPr>
        <w:t>หลักทรัพย์ของลูกค้า</w:t>
      </w:r>
      <w:r w:rsidR="00361FA6" w:rsidRPr="00ED00B1">
        <w:rPr>
          <w:rFonts w:hint="cs"/>
          <w:color w:val="auto"/>
          <w:sz w:val="30"/>
          <w:szCs w:val="30"/>
          <w:cs/>
        </w:rPr>
        <w:t xml:space="preserve"> </w:t>
      </w:r>
      <w:r w:rsidRPr="00ED00B1">
        <w:rPr>
          <w:color w:val="auto"/>
          <w:sz w:val="30"/>
          <w:szCs w:val="30"/>
          <w:cs/>
        </w:rPr>
        <w:t>ลงวันที่</w:t>
      </w:r>
      <w:r w:rsidR="0081184D" w:rsidRPr="00ED00B1">
        <w:rPr>
          <w:color w:val="auto"/>
          <w:sz w:val="30"/>
          <w:szCs w:val="30"/>
          <w:cs/>
        </w:rPr>
        <w:t xml:space="preserve"> </w:t>
      </w:r>
      <w:r w:rsidR="00E24908" w:rsidRPr="00ED00B1">
        <w:rPr>
          <w:color w:val="auto"/>
          <w:sz w:val="30"/>
          <w:szCs w:val="30"/>
        </w:rPr>
        <w:br/>
      </w:r>
      <w:r w:rsidR="00C2762B" w:rsidRPr="00ED00B1">
        <w:rPr>
          <w:color w:val="auto"/>
          <w:sz w:val="30"/>
          <w:szCs w:val="30"/>
        </w:rPr>
        <w:t>5</w:t>
      </w:r>
      <w:r w:rsidR="00C2762B" w:rsidRPr="00ED00B1">
        <w:rPr>
          <w:rFonts w:hint="cs"/>
          <w:color w:val="auto"/>
          <w:sz w:val="30"/>
          <w:szCs w:val="30"/>
          <w:cs/>
        </w:rPr>
        <w:t xml:space="preserve"> </w:t>
      </w:r>
      <w:r w:rsidR="005010EF" w:rsidRPr="00ED00B1">
        <w:rPr>
          <w:rFonts w:hint="cs"/>
          <w:color w:val="auto"/>
          <w:sz w:val="30"/>
          <w:szCs w:val="30"/>
          <w:cs/>
        </w:rPr>
        <w:t xml:space="preserve">กุมภาพันธ์ </w:t>
      </w:r>
      <w:r w:rsidR="00C2762B" w:rsidRPr="00ED00B1">
        <w:rPr>
          <w:color w:val="auto"/>
          <w:sz w:val="30"/>
          <w:szCs w:val="30"/>
        </w:rPr>
        <w:t>2557</w:t>
      </w:r>
    </w:p>
    <w:p w14:paraId="23980B3F" w14:textId="47DCD4C5" w:rsidR="007045C1" w:rsidRPr="00ED00B1" w:rsidRDefault="007045C1" w:rsidP="005A5F16">
      <w:pPr>
        <w:pStyle w:val="Default"/>
        <w:widowControl w:val="0"/>
        <w:numPr>
          <w:ilvl w:val="0"/>
          <w:numId w:val="6"/>
        </w:numPr>
        <w:tabs>
          <w:tab w:val="left" w:pos="1701"/>
        </w:tabs>
        <w:ind w:left="0" w:firstLine="1276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>แนวทาง</w:t>
      </w:r>
      <w:r w:rsidRPr="00ED00B1">
        <w:rPr>
          <w:rFonts w:hint="cs"/>
          <w:color w:val="auto"/>
          <w:sz w:val="30"/>
          <w:szCs w:val="30"/>
          <w:cs/>
        </w:rPr>
        <w:t>การ</w:t>
      </w:r>
      <w:r w:rsidRPr="00ED00B1">
        <w:rPr>
          <w:color w:val="auto"/>
          <w:sz w:val="30"/>
          <w:szCs w:val="30"/>
          <w:cs/>
        </w:rPr>
        <w:t>ปฏิบัติงาน</w:t>
      </w:r>
      <w:r w:rsidRPr="00ED00B1">
        <w:rPr>
          <w:rFonts w:hint="cs"/>
          <w:color w:val="auto"/>
          <w:sz w:val="30"/>
          <w:szCs w:val="30"/>
          <w:cs/>
        </w:rPr>
        <w:t xml:space="preserve"> เรื่อง การพิจารณากำหนดวงเงินซื้อขาย</w:t>
      </w:r>
      <w:r w:rsidRPr="00ED00B1">
        <w:rPr>
          <w:color w:val="auto"/>
          <w:sz w:val="30"/>
          <w:szCs w:val="30"/>
          <w:cs/>
        </w:rPr>
        <w:t>หลักทรัพย์ของลูกค้า</w:t>
      </w:r>
      <w:r w:rsidRPr="00ED00B1">
        <w:rPr>
          <w:rFonts w:hint="cs"/>
          <w:color w:val="auto"/>
          <w:sz w:val="30"/>
          <w:szCs w:val="30"/>
          <w:cs/>
        </w:rPr>
        <w:t xml:space="preserve"> (ฉบับที่ </w:t>
      </w:r>
      <w:r w:rsidRPr="00ED00B1">
        <w:rPr>
          <w:color w:val="auto"/>
          <w:sz w:val="30"/>
          <w:szCs w:val="30"/>
        </w:rPr>
        <w:t>2)</w:t>
      </w:r>
      <w:r w:rsidRPr="00ED00B1">
        <w:rPr>
          <w:rFonts w:hint="cs"/>
          <w:color w:val="auto"/>
          <w:sz w:val="30"/>
          <w:szCs w:val="30"/>
          <w:cs/>
        </w:rPr>
        <w:t xml:space="preserve"> </w:t>
      </w:r>
      <w:r w:rsidR="00D73433" w:rsidRPr="00ED00B1">
        <w:rPr>
          <w:color w:val="auto"/>
          <w:sz w:val="30"/>
          <w:szCs w:val="30"/>
        </w:rPr>
        <w:br/>
      </w:r>
      <w:r w:rsidRPr="00ED00B1">
        <w:rPr>
          <w:color w:val="auto"/>
          <w:sz w:val="30"/>
          <w:szCs w:val="30"/>
          <w:cs/>
        </w:rPr>
        <w:t xml:space="preserve">ลงวันที่ </w:t>
      </w:r>
      <w:r w:rsidRPr="00ED00B1">
        <w:rPr>
          <w:color w:val="auto"/>
          <w:sz w:val="30"/>
          <w:szCs w:val="30"/>
        </w:rPr>
        <w:t>18</w:t>
      </w:r>
      <w:r w:rsidRPr="00ED00B1">
        <w:rPr>
          <w:rFonts w:hint="cs"/>
          <w:color w:val="auto"/>
          <w:sz w:val="30"/>
          <w:szCs w:val="30"/>
          <w:cs/>
        </w:rPr>
        <w:t xml:space="preserve"> กุมภาพันธ์ </w:t>
      </w:r>
      <w:r w:rsidR="00C2762B" w:rsidRPr="00ED00B1">
        <w:rPr>
          <w:color w:val="auto"/>
          <w:sz w:val="30"/>
          <w:szCs w:val="30"/>
        </w:rPr>
        <w:t>2564</w:t>
      </w:r>
    </w:p>
    <w:p w14:paraId="0D3D6CAB" w14:textId="6BAC3C82" w:rsidR="00923183" w:rsidRPr="00ED00B1" w:rsidRDefault="005571B8" w:rsidP="00620333">
      <w:pPr>
        <w:pStyle w:val="Default"/>
        <w:widowControl w:val="0"/>
        <w:tabs>
          <w:tab w:val="left" w:pos="1276"/>
        </w:tabs>
        <w:spacing w:before="8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 xml:space="preserve">ข้อ </w:t>
      </w:r>
      <w:r w:rsidR="004B299F" w:rsidRPr="00ED00B1">
        <w:rPr>
          <w:color w:val="auto"/>
          <w:sz w:val="30"/>
          <w:szCs w:val="30"/>
        </w:rPr>
        <w:t>2</w:t>
      </w:r>
      <w:r w:rsidR="00A45B9A" w:rsidRPr="00ED00B1">
        <w:rPr>
          <w:color w:val="auto"/>
          <w:sz w:val="30"/>
          <w:szCs w:val="30"/>
          <w:cs/>
        </w:rPr>
        <w:tab/>
      </w:r>
      <w:r w:rsidR="00923183" w:rsidRPr="00ED00B1">
        <w:rPr>
          <w:color w:val="auto"/>
          <w:sz w:val="30"/>
          <w:szCs w:val="30"/>
          <w:cs/>
        </w:rPr>
        <w:t xml:space="preserve">ในแนวทางการปฏิบัติงานนี้ </w:t>
      </w:r>
    </w:p>
    <w:p w14:paraId="3DD2CED6" w14:textId="0027197A" w:rsidR="00862857" w:rsidRPr="00ED00B1" w:rsidRDefault="00862857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</w:rPr>
        <w:t>"</w:t>
      </w:r>
      <w:r w:rsidRPr="00ED00B1">
        <w:rPr>
          <w:color w:val="auto"/>
          <w:sz w:val="30"/>
          <w:szCs w:val="30"/>
          <w:cs/>
        </w:rPr>
        <w:t>สำนักงาน ก.ล.ต.</w:t>
      </w:r>
      <w:r w:rsidR="005927DF" w:rsidRPr="00ED00B1">
        <w:rPr>
          <w:color w:val="auto"/>
          <w:sz w:val="30"/>
          <w:szCs w:val="30"/>
          <w:cs/>
        </w:rPr>
        <w:t>”</w:t>
      </w:r>
      <w:r w:rsidRPr="00ED00B1">
        <w:rPr>
          <w:rFonts w:hint="cs"/>
          <w:color w:val="auto"/>
          <w:sz w:val="30"/>
          <w:szCs w:val="30"/>
          <w:cs/>
        </w:rPr>
        <w:t xml:space="preserve"> หมายความว่า สำนักงานคณะกรรมการกำกับหลักทรัพย์และตลาดหลักทรัพย์</w:t>
      </w:r>
    </w:p>
    <w:p w14:paraId="0534ACAC" w14:textId="41B8B49D" w:rsidR="00A45B9A" w:rsidRPr="00ED00B1" w:rsidRDefault="00A45B9A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  <w:cs/>
        </w:rPr>
      </w:pPr>
      <w:r w:rsidRPr="00ED00B1">
        <w:rPr>
          <w:color w:val="auto"/>
          <w:sz w:val="30"/>
          <w:szCs w:val="30"/>
          <w:cs/>
        </w:rPr>
        <w:t>“ตลา</w:t>
      </w:r>
      <w:r w:rsidR="00DC7513" w:rsidRPr="00ED00B1">
        <w:rPr>
          <w:color w:val="auto"/>
          <w:sz w:val="30"/>
          <w:szCs w:val="30"/>
          <w:cs/>
        </w:rPr>
        <w:t>ด</w:t>
      </w:r>
      <w:r w:rsidR="005927DF" w:rsidRPr="00ED00B1">
        <w:rPr>
          <w:color w:val="auto"/>
          <w:sz w:val="30"/>
          <w:szCs w:val="30"/>
          <w:cs/>
        </w:rPr>
        <w:t>หลักทรัพย์” หมายความว่า ตลาดหลักทรัพย์แห่งประเทศไทย</w:t>
      </w:r>
    </w:p>
    <w:p w14:paraId="087E92D3" w14:textId="16036658" w:rsidR="00923183" w:rsidRPr="00ED00B1" w:rsidRDefault="00923183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 xml:space="preserve">“สมาคม” หมายความว่า สมาคมบริษัทหลักทรัพย์ไทย </w:t>
      </w:r>
    </w:p>
    <w:p w14:paraId="7AD34CB1" w14:textId="68F4C0C1" w:rsidR="00923183" w:rsidRPr="00ED00B1" w:rsidRDefault="00923183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  <w:cs/>
        </w:rPr>
      </w:pPr>
      <w:r w:rsidRPr="00ED00B1">
        <w:rPr>
          <w:color w:val="auto"/>
          <w:sz w:val="30"/>
          <w:szCs w:val="30"/>
          <w:cs/>
        </w:rPr>
        <w:t>“สมาชิก” หมายความว่า สมาชิกสมาคมบริษัทหลักทรัพย์ไทย</w:t>
      </w:r>
    </w:p>
    <w:p w14:paraId="0B8BD868" w14:textId="4588960E" w:rsidR="00A419EA" w:rsidRPr="00ED00B1" w:rsidRDefault="00DD45C5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  <w:cs/>
        </w:rPr>
      </w:pPr>
      <w:bookmarkStart w:id="3" w:name="_Hlk170985240"/>
      <w:r w:rsidRPr="00ED00B1">
        <w:rPr>
          <w:color w:val="auto"/>
          <w:sz w:val="30"/>
          <w:szCs w:val="30"/>
        </w:rPr>
        <w:t>“</w:t>
      </w:r>
      <w:r w:rsidR="00A419EA" w:rsidRPr="00ED00B1">
        <w:rPr>
          <w:color w:val="auto"/>
          <w:sz w:val="30"/>
          <w:szCs w:val="30"/>
          <w:cs/>
        </w:rPr>
        <w:t>ลูกค้า</w:t>
      </w:r>
      <w:r w:rsidRPr="00ED00B1">
        <w:rPr>
          <w:color w:val="auto"/>
          <w:sz w:val="30"/>
          <w:szCs w:val="30"/>
        </w:rPr>
        <w:t>”</w:t>
      </w:r>
      <w:r w:rsidR="00A419EA" w:rsidRPr="00ED00B1">
        <w:rPr>
          <w:color w:val="auto"/>
          <w:sz w:val="30"/>
          <w:szCs w:val="30"/>
          <w:cs/>
        </w:rPr>
        <w:t xml:space="preserve"> หมาย</w:t>
      </w:r>
      <w:r w:rsidRPr="00ED00B1">
        <w:rPr>
          <w:color w:val="auto"/>
          <w:sz w:val="30"/>
          <w:szCs w:val="30"/>
          <w:cs/>
        </w:rPr>
        <w:t>ความว่า</w:t>
      </w:r>
      <w:r w:rsidR="00A419EA" w:rsidRPr="00ED00B1">
        <w:rPr>
          <w:color w:val="auto"/>
          <w:sz w:val="30"/>
          <w:szCs w:val="30"/>
          <w:cs/>
        </w:rPr>
        <w:t xml:space="preserve"> </w:t>
      </w:r>
      <w:r w:rsidR="00367419" w:rsidRPr="00ED00B1">
        <w:rPr>
          <w:rFonts w:hint="cs"/>
          <w:color w:val="auto"/>
          <w:sz w:val="30"/>
          <w:szCs w:val="30"/>
          <w:cs/>
        </w:rPr>
        <w:t>บุคคลธรรมดา</w:t>
      </w:r>
      <w:r w:rsidR="00AB0D42" w:rsidRPr="00ED00B1">
        <w:rPr>
          <w:rFonts w:hint="cs"/>
          <w:color w:val="auto"/>
          <w:sz w:val="30"/>
          <w:szCs w:val="30"/>
          <w:cs/>
        </w:rPr>
        <w:t>และ</w:t>
      </w:r>
      <w:r w:rsidR="00367419" w:rsidRPr="00ED00B1">
        <w:rPr>
          <w:rFonts w:hint="cs"/>
          <w:color w:val="auto"/>
          <w:sz w:val="30"/>
          <w:szCs w:val="30"/>
          <w:cs/>
        </w:rPr>
        <w:t>นิติบุคคลที่ใช้บริการของผู้ประกอบธุรกิจนายหน้าซื้อขายหลักทรัพย์และผู้ประกอบธุรกิจตัวแทนซื้อขายสัญญาซื้อขายล่วงหน้า</w:t>
      </w:r>
      <w:r w:rsidR="00367419" w:rsidRPr="00ED00B1">
        <w:rPr>
          <w:color w:val="auto"/>
          <w:sz w:val="30"/>
          <w:szCs w:val="30"/>
          <w:cs/>
        </w:rPr>
        <w:t xml:space="preserve"> </w:t>
      </w:r>
      <w:r w:rsidR="00367419" w:rsidRPr="00ED00B1">
        <w:rPr>
          <w:rFonts w:hint="cs"/>
          <w:color w:val="auto"/>
          <w:sz w:val="30"/>
          <w:szCs w:val="30"/>
          <w:cs/>
        </w:rPr>
        <w:t>แต่ไม่รวมถึง</w:t>
      </w:r>
      <w:r w:rsidR="008A5285" w:rsidRPr="00ED00B1">
        <w:rPr>
          <w:rFonts w:hint="cs"/>
          <w:color w:val="auto"/>
          <w:sz w:val="30"/>
          <w:szCs w:val="30"/>
          <w:cs/>
        </w:rPr>
        <w:t>กองทุนส่วนบุคคล และ</w:t>
      </w:r>
      <w:r w:rsidR="00367419" w:rsidRPr="00ED00B1">
        <w:rPr>
          <w:rFonts w:hint="cs"/>
          <w:color w:val="auto"/>
          <w:sz w:val="30"/>
          <w:szCs w:val="30"/>
          <w:cs/>
        </w:rPr>
        <w:t>นิติบุคคลที่เป็นผู้ลงทุนสถาบันตามกฎหมายว่าด้วยหลักทรัพย์และตลาดหลักทรัพย์</w:t>
      </w:r>
      <w:r w:rsidR="00367419" w:rsidRPr="00ED00B1">
        <w:rPr>
          <w:color w:val="auto"/>
          <w:sz w:val="30"/>
          <w:szCs w:val="30"/>
          <w:cs/>
        </w:rPr>
        <w:t xml:space="preserve"> </w:t>
      </w:r>
      <w:bookmarkStart w:id="4" w:name="_Hlk171410115"/>
      <w:bookmarkEnd w:id="3"/>
      <w:r w:rsidR="00367419" w:rsidRPr="00ED00B1">
        <w:rPr>
          <w:rFonts w:hint="cs"/>
          <w:color w:val="auto"/>
          <w:sz w:val="30"/>
          <w:szCs w:val="30"/>
          <w:cs/>
        </w:rPr>
        <w:t>หรือ</w:t>
      </w:r>
      <w:r w:rsidR="00367419" w:rsidRPr="00ED00B1">
        <w:rPr>
          <w:color w:val="auto"/>
          <w:sz w:val="30"/>
          <w:szCs w:val="30"/>
          <w:cs/>
        </w:rPr>
        <w:t xml:space="preserve"> </w:t>
      </w:r>
      <w:r w:rsidR="00367419" w:rsidRPr="00ED00B1">
        <w:rPr>
          <w:rFonts w:hint="cs"/>
          <w:color w:val="auto"/>
          <w:sz w:val="30"/>
          <w:szCs w:val="30"/>
          <w:cs/>
        </w:rPr>
        <w:t>กฎหมายว่าด้วยสัญญาซื้อขายล่วงหน้า</w:t>
      </w:r>
      <w:r w:rsidR="00367419" w:rsidRPr="00ED00B1">
        <w:rPr>
          <w:color w:val="auto"/>
          <w:sz w:val="30"/>
          <w:szCs w:val="30"/>
          <w:cs/>
        </w:rPr>
        <w:t xml:space="preserve"> </w:t>
      </w:r>
      <w:r w:rsidR="00367419" w:rsidRPr="00ED00B1">
        <w:rPr>
          <w:rFonts w:hint="cs"/>
          <w:color w:val="auto"/>
          <w:sz w:val="30"/>
          <w:szCs w:val="30"/>
          <w:cs/>
        </w:rPr>
        <w:t>หรือตามประกาศที่เกี่ยวข้อง</w:t>
      </w:r>
      <w:r w:rsidR="00367419" w:rsidRPr="00ED00B1">
        <w:rPr>
          <w:color w:val="auto"/>
          <w:sz w:val="30"/>
          <w:szCs w:val="30"/>
          <w:cs/>
        </w:rPr>
        <w:t xml:space="preserve"> เว้นแต่เป็นกิจการเงินร่วมลงทุน หรือบริษัทย่อยหรือบริษัทร่วม</w:t>
      </w:r>
      <w:r w:rsidR="009C7285" w:rsidRPr="00ED00B1">
        <w:rPr>
          <w:rFonts w:hint="cs"/>
          <w:color w:val="auto"/>
          <w:sz w:val="30"/>
          <w:szCs w:val="30"/>
          <w:cs/>
        </w:rPr>
        <w:t>ของบริษัท</w:t>
      </w:r>
      <w:r w:rsidR="009C7285" w:rsidRPr="00ED00B1">
        <w:rPr>
          <w:color w:val="auto"/>
          <w:sz w:val="30"/>
          <w:szCs w:val="30"/>
          <w:cs/>
        </w:rPr>
        <w:t xml:space="preserve"> </w:t>
      </w:r>
      <w:r w:rsidR="00367419" w:rsidRPr="00ED00B1">
        <w:rPr>
          <w:color w:val="auto"/>
          <w:sz w:val="30"/>
          <w:szCs w:val="30"/>
          <w:cs/>
        </w:rPr>
        <w:t>เฉพาะในธุรกรรมที่เกี่ยวข้องกับหลักทรัพย์ที่ออกโดยบริษัทดังกล่าวตามประกาศคณะกรรมการกำกับหลักทรัพย์และตลาดหลักทรัพย์ว่าด้วยการกำหนด</w:t>
      </w:r>
      <w:r w:rsidR="00D73433" w:rsidRPr="00ED00B1">
        <w:rPr>
          <w:color w:val="auto"/>
          <w:sz w:val="30"/>
          <w:szCs w:val="30"/>
        </w:rPr>
        <w:br/>
      </w:r>
      <w:r w:rsidR="00367419" w:rsidRPr="00ED00B1">
        <w:rPr>
          <w:color w:val="auto"/>
          <w:sz w:val="30"/>
          <w:szCs w:val="30"/>
          <w:cs/>
        </w:rPr>
        <w:t>บทนิยามผู้ลงทุนสถาบันผู้ลงทุนรายใหญ่พิเศษ และผู้ลงทุนรายใหญ่”</w:t>
      </w:r>
      <w:bookmarkEnd w:id="4"/>
    </w:p>
    <w:p w14:paraId="2FE98BF0" w14:textId="77777777" w:rsidR="00527859" w:rsidRPr="00ED00B1" w:rsidRDefault="00051C0B" w:rsidP="00ED244D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</w:rPr>
        <w:t>“</w:t>
      </w:r>
      <w:r w:rsidRPr="00ED00B1">
        <w:rPr>
          <w:color w:val="auto"/>
          <w:sz w:val="30"/>
          <w:szCs w:val="30"/>
          <w:cs/>
        </w:rPr>
        <w:t>หลักทรัพย์</w:t>
      </w:r>
      <w:r w:rsidRPr="00ED00B1">
        <w:rPr>
          <w:color w:val="auto"/>
          <w:sz w:val="30"/>
          <w:szCs w:val="30"/>
        </w:rPr>
        <w:t xml:space="preserve">” </w:t>
      </w:r>
      <w:r w:rsidRPr="00ED00B1">
        <w:rPr>
          <w:color w:val="auto"/>
          <w:sz w:val="30"/>
          <w:szCs w:val="30"/>
          <w:cs/>
        </w:rPr>
        <w:t xml:space="preserve">หมายความว่า </w:t>
      </w:r>
      <w:r w:rsidR="00DD0267" w:rsidRPr="00ED00B1">
        <w:rPr>
          <w:color w:val="auto"/>
          <w:sz w:val="30"/>
          <w:szCs w:val="30"/>
          <w:cs/>
        </w:rPr>
        <w:t xml:space="preserve">หลักทรัพย์ตามมาตรา </w:t>
      </w:r>
      <w:r w:rsidR="00152790" w:rsidRPr="00ED00B1">
        <w:rPr>
          <w:color w:val="auto"/>
          <w:sz w:val="30"/>
          <w:szCs w:val="30"/>
        </w:rPr>
        <w:t>4</w:t>
      </w:r>
      <w:r w:rsidR="00152790" w:rsidRPr="00ED00B1">
        <w:rPr>
          <w:color w:val="auto"/>
          <w:sz w:val="30"/>
          <w:szCs w:val="30"/>
          <w:cs/>
        </w:rPr>
        <w:t xml:space="preserve"> </w:t>
      </w:r>
      <w:r w:rsidR="00DD0267" w:rsidRPr="00ED00B1">
        <w:rPr>
          <w:color w:val="auto"/>
          <w:sz w:val="30"/>
          <w:szCs w:val="30"/>
          <w:cs/>
        </w:rPr>
        <w:t xml:space="preserve">ของพระราชบัญญัติหลักทรัพย์และตลาดหลักทรัพย์ </w:t>
      </w:r>
    </w:p>
    <w:p w14:paraId="61C75775" w14:textId="3112972D" w:rsidR="009A1E07" w:rsidRPr="00ED00B1" w:rsidRDefault="00CF25CC" w:rsidP="00ED244D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</w:rPr>
        <w:t>“</w:t>
      </w:r>
      <w:r w:rsidRPr="00ED00B1">
        <w:rPr>
          <w:color w:val="auto"/>
          <w:sz w:val="30"/>
          <w:szCs w:val="30"/>
          <w:cs/>
        </w:rPr>
        <w:t xml:space="preserve">สัญญาซื้อขายล่วงหน้า” หมายความว่า </w:t>
      </w:r>
      <w:bookmarkStart w:id="5" w:name="_Hlk159437775"/>
      <w:r w:rsidRPr="00ED00B1">
        <w:rPr>
          <w:color w:val="auto"/>
          <w:sz w:val="30"/>
          <w:szCs w:val="30"/>
          <w:cs/>
        </w:rPr>
        <w:t xml:space="preserve">สัญญาซื้อขายล่วงหน้าตามมาตรา </w:t>
      </w:r>
      <w:r w:rsidR="0015123A" w:rsidRPr="00ED00B1">
        <w:rPr>
          <w:color w:val="auto"/>
          <w:sz w:val="30"/>
          <w:szCs w:val="30"/>
        </w:rPr>
        <w:t>3</w:t>
      </w:r>
      <w:r w:rsidRPr="00ED00B1">
        <w:rPr>
          <w:color w:val="auto"/>
          <w:sz w:val="30"/>
          <w:szCs w:val="30"/>
          <w:cs/>
        </w:rPr>
        <w:t xml:space="preserve"> ของพระราชบัญญัติสัญญาซื้อขายล่วงหน้า</w:t>
      </w:r>
      <w:bookmarkEnd w:id="5"/>
    </w:p>
    <w:p w14:paraId="13A68331" w14:textId="193B8EA0" w:rsidR="00AB0E34" w:rsidRPr="00ED00B1" w:rsidRDefault="00AB0E34" w:rsidP="005A5F16">
      <w:pPr>
        <w:pStyle w:val="Default"/>
        <w:widowControl w:val="0"/>
        <w:ind w:firstLine="720"/>
        <w:jc w:val="thaiDistribute"/>
        <w:rPr>
          <w:rFonts w:eastAsia="Cordia New"/>
          <w:color w:val="auto"/>
          <w:spacing w:val="-2"/>
          <w:sz w:val="30"/>
          <w:szCs w:val="30"/>
        </w:rPr>
      </w:pPr>
      <w:r w:rsidRPr="00ED00B1">
        <w:rPr>
          <w:color w:val="auto"/>
          <w:spacing w:val="-2"/>
          <w:sz w:val="30"/>
          <w:szCs w:val="30"/>
        </w:rPr>
        <w:t>“</w:t>
      </w:r>
      <w:r w:rsidRPr="00ED00B1">
        <w:rPr>
          <w:color w:val="auto"/>
          <w:spacing w:val="-2"/>
          <w:sz w:val="30"/>
          <w:szCs w:val="30"/>
          <w:cs/>
        </w:rPr>
        <w:t>ผู้เกี่ยวข้อง</w:t>
      </w:r>
      <w:r w:rsidRPr="00ED00B1">
        <w:rPr>
          <w:color w:val="auto"/>
          <w:spacing w:val="-2"/>
          <w:sz w:val="30"/>
          <w:szCs w:val="30"/>
        </w:rPr>
        <w:t xml:space="preserve">” </w:t>
      </w:r>
      <w:r w:rsidRPr="00ED00B1">
        <w:rPr>
          <w:color w:val="auto"/>
          <w:spacing w:val="-2"/>
          <w:sz w:val="30"/>
          <w:szCs w:val="30"/>
          <w:cs/>
        </w:rPr>
        <w:t>หมายความว่า กลุ่มบุคคลหรือบุคคลใด</w:t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>ซึ่งมีนัยสำคัญที่ส่งผลกระทบต่อความสามารถในการชำระหนี้ของลูกค้า เช่น คู่สมรส หรือบุคคลที่อยู่กินกันฉันสามีภรรยา หรือบุตรที่ยังไม่บรรลุนิติภาวะ หรือ</w:t>
      </w:r>
      <w:r w:rsidR="00760412" w:rsidRPr="00ED00B1">
        <w:rPr>
          <w:rFonts w:eastAsia="Cordia New"/>
          <w:color w:val="auto"/>
          <w:spacing w:val="-2"/>
          <w:sz w:val="30"/>
          <w:szCs w:val="30"/>
          <w:cs/>
        </w:rPr>
        <w:t>บุคคล</w:t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>อื่นใด</w:t>
      </w:r>
      <w:r w:rsidR="00222957" w:rsidRPr="00ED00B1">
        <w:rPr>
          <w:rFonts w:eastAsia="Cordia New"/>
          <w:color w:val="auto"/>
          <w:spacing w:val="-2"/>
          <w:sz w:val="30"/>
          <w:szCs w:val="30"/>
          <w:cs/>
        </w:rPr>
        <w:t xml:space="preserve"> เป็นต้น</w:t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 xml:space="preserve"> </w:t>
      </w:r>
      <w:r w:rsidR="00D73433" w:rsidRPr="00ED00B1">
        <w:rPr>
          <w:rFonts w:eastAsia="Cordia New"/>
          <w:color w:val="auto"/>
          <w:spacing w:val="-2"/>
          <w:sz w:val="30"/>
          <w:szCs w:val="30"/>
        </w:rPr>
        <w:br/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>ทั้งนี้เฉพาะที่สมาชิก</w:t>
      </w:r>
      <w:r w:rsidR="00DB2584" w:rsidRPr="00ED00B1">
        <w:rPr>
          <w:rFonts w:eastAsia="Cordia New"/>
          <w:color w:val="auto"/>
          <w:spacing w:val="-2"/>
          <w:sz w:val="30"/>
          <w:szCs w:val="30"/>
          <w:cs/>
        </w:rPr>
        <w:t>พึงทราบและ</w:t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>พิจารณาแล้วว่ามีนัยสำคัญที่ส่งผลกระทบต่อความสามารถในการชำระหนี้ของลูกค้า</w:t>
      </w:r>
      <w:r w:rsidR="007C2683" w:rsidRPr="00ED00B1">
        <w:rPr>
          <w:noProof/>
          <w:color w:val="auto"/>
          <w:spacing w:val="-2"/>
          <w:sz w:val="30"/>
          <w:szCs w:val="30"/>
          <w:cs/>
        </w:rPr>
        <w:t xml:space="preserve"> </w:t>
      </w:r>
      <w:r w:rsidRPr="00ED00B1">
        <w:rPr>
          <w:rFonts w:eastAsia="Cordia New"/>
          <w:color w:val="auto"/>
          <w:spacing w:val="-2"/>
          <w:sz w:val="30"/>
          <w:szCs w:val="30"/>
          <w:cs/>
        </w:rPr>
        <w:t>เท่านั้น</w:t>
      </w:r>
      <w:r w:rsidR="00BD1852" w:rsidRPr="00ED00B1">
        <w:rPr>
          <w:rFonts w:eastAsia="Cordia New"/>
          <w:color w:val="auto"/>
          <w:spacing w:val="-2"/>
          <w:sz w:val="30"/>
          <w:szCs w:val="30"/>
          <w:cs/>
        </w:rPr>
        <w:t xml:space="preserve"> </w:t>
      </w:r>
    </w:p>
    <w:p w14:paraId="3CD1CD94" w14:textId="1E792EA5" w:rsidR="00862857" w:rsidRPr="00ED00B1" w:rsidRDefault="00862857" w:rsidP="005A5F16">
      <w:pPr>
        <w:pStyle w:val="Default"/>
        <w:widowControl w:val="0"/>
        <w:ind w:firstLine="720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t>“เงินกองทุน</w:t>
      </w:r>
      <w:r w:rsidRPr="00ED00B1">
        <w:rPr>
          <w:color w:val="auto"/>
          <w:sz w:val="30"/>
          <w:szCs w:val="30"/>
        </w:rPr>
        <w:t>”</w:t>
      </w:r>
      <w:r w:rsidRPr="00ED00B1">
        <w:rPr>
          <w:color w:val="auto"/>
          <w:sz w:val="30"/>
          <w:szCs w:val="30"/>
          <w:cs/>
        </w:rPr>
        <w:t xml:space="preserve"> หมายความว่า เงินกองทุนตามนิยามประกาศสำนักงาน ก.ล.ต. ว่าด้วย การปฏิบัติงานเกี่ยวกับ</w:t>
      </w:r>
      <w:r w:rsidR="00D73433" w:rsidRPr="00ED00B1">
        <w:rPr>
          <w:color w:val="auto"/>
          <w:sz w:val="30"/>
          <w:szCs w:val="30"/>
        </w:rPr>
        <w:br/>
      </w:r>
      <w:r w:rsidRPr="00ED00B1">
        <w:rPr>
          <w:color w:val="auto"/>
          <w:sz w:val="30"/>
          <w:szCs w:val="30"/>
          <w:cs/>
        </w:rPr>
        <w:t>การให้กู้ยืมเงินเพื่อซื้อหลักทรัพย์และการให้ยืมหลักทรัพย์แก่ลูกค้าที่มิใช่ลูกค้าสถาบันเพื่อขายชอร์ต</w:t>
      </w:r>
    </w:p>
    <w:p w14:paraId="70FE5F8C" w14:textId="77777777" w:rsidR="00E40B05" w:rsidRDefault="00E40B05" w:rsidP="005A5F16">
      <w:pPr>
        <w:pStyle w:val="Default"/>
        <w:widowControl w:val="0"/>
        <w:ind w:firstLine="706"/>
        <w:jc w:val="thaiDistribute"/>
        <w:rPr>
          <w:color w:val="auto"/>
          <w:sz w:val="30"/>
          <w:szCs w:val="30"/>
        </w:rPr>
      </w:pPr>
    </w:p>
    <w:p w14:paraId="75C20A4E" w14:textId="59CB8D73" w:rsidR="00923183" w:rsidRPr="00ED00B1" w:rsidRDefault="00923183" w:rsidP="005A5F16">
      <w:pPr>
        <w:pStyle w:val="Default"/>
        <w:widowControl w:val="0"/>
        <w:ind w:firstLine="706"/>
        <w:jc w:val="thaiDistribute"/>
        <w:rPr>
          <w:color w:val="auto"/>
          <w:sz w:val="30"/>
          <w:szCs w:val="30"/>
        </w:rPr>
      </w:pPr>
      <w:r w:rsidRPr="00ED00B1">
        <w:rPr>
          <w:color w:val="auto"/>
          <w:sz w:val="30"/>
          <w:szCs w:val="30"/>
          <w:cs/>
        </w:rPr>
        <w:lastRenderedPageBreak/>
        <w:t xml:space="preserve">นอกเหนือจากคำที่บัญญัติไว้ข้างต้น ให้คำที่ปรากฏในแนวทางการปฏิบัติงานฉบับนี้มีความหมายเป็นไปตามนิยามที่กำหนดไว้ในประกาศคณะกรรมการกำกับตลาดทุน ที่ ทธ. </w:t>
      </w:r>
      <w:r w:rsidRPr="00ED00B1">
        <w:rPr>
          <w:color w:val="auto"/>
          <w:sz w:val="30"/>
          <w:szCs w:val="30"/>
        </w:rPr>
        <w:t>35</w:t>
      </w:r>
      <w:r w:rsidRPr="00ED00B1">
        <w:rPr>
          <w:color w:val="auto"/>
          <w:sz w:val="30"/>
          <w:szCs w:val="30"/>
          <w:cs/>
        </w:rPr>
        <w:t>/</w:t>
      </w:r>
      <w:r w:rsidRPr="00ED00B1">
        <w:rPr>
          <w:color w:val="auto"/>
          <w:sz w:val="30"/>
          <w:szCs w:val="30"/>
        </w:rPr>
        <w:t xml:space="preserve">2556 </w:t>
      </w:r>
      <w:r w:rsidRPr="00ED00B1">
        <w:rPr>
          <w:color w:val="auto"/>
          <w:sz w:val="30"/>
          <w:szCs w:val="30"/>
          <w:cs/>
        </w:rPr>
        <w:t>เรื่อง มาตรฐานการประกอบธุรกิจ โครงสร้าง</w:t>
      </w:r>
      <w:r w:rsidR="00D73433" w:rsidRPr="00ED00B1">
        <w:rPr>
          <w:color w:val="auto"/>
          <w:sz w:val="30"/>
          <w:szCs w:val="30"/>
        </w:rPr>
        <w:br/>
      </w:r>
      <w:r w:rsidRPr="00ED00B1">
        <w:rPr>
          <w:color w:val="auto"/>
          <w:sz w:val="30"/>
          <w:szCs w:val="30"/>
          <w:cs/>
        </w:rPr>
        <w:t>การบริหารงาน ระบบงาน และการให้บริการของผู้ประกอบธุรกิจหลักทรัพย์และ</w:t>
      </w:r>
      <w:r w:rsidR="00A47AB8" w:rsidRPr="00ED00B1">
        <w:rPr>
          <w:rFonts w:hint="cs"/>
          <w:color w:val="auto"/>
          <w:sz w:val="30"/>
          <w:szCs w:val="30"/>
          <w:cs/>
        </w:rPr>
        <w:t>ผู้ประกอบ</w:t>
      </w:r>
      <w:r w:rsidRPr="00ED00B1">
        <w:rPr>
          <w:color w:val="auto"/>
          <w:sz w:val="30"/>
          <w:szCs w:val="30"/>
          <w:cs/>
        </w:rPr>
        <w:t xml:space="preserve">ธุรกิจสัญญาซื้อขายล่วงหน้า </w:t>
      </w:r>
    </w:p>
    <w:p w14:paraId="3A14B868" w14:textId="167A3E4C" w:rsidR="00A94244" w:rsidRPr="00ED00B1" w:rsidRDefault="00A94244" w:rsidP="005A5F16">
      <w:pPr>
        <w:widowControl w:val="0"/>
        <w:tabs>
          <w:tab w:val="left" w:pos="1276"/>
        </w:tabs>
        <w:spacing w:before="120"/>
        <w:ind w:firstLine="72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ข้อ </w:t>
      </w:r>
      <w:r w:rsidR="00852C4A" w:rsidRPr="00ED00B1">
        <w:rPr>
          <w:rFonts w:ascii="DilleniaUPC" w:eastAsia="Cordia New" w:hAnsi="DilleniaUPC" w:cs="DilleniaUPC"/>
          <w:sz w:val="30"/>
          <w:szCs w:val="30"/>
        </w:rPr>
        <w:t>3</w:t>
      </w:r>
      <w:r w:rsidRPr="00ED00B1">
        <w:rPr>
          <w:rFonts w:ascii="DilleniaUPC" w:eastAsia="Cordia New" w:hAnsi="DilleniaUPC" w:cs="DilleniaUPC"/>
          <w:sz w:val="30"/>
          <w:szCs w:val="30"/>
        </w:rPr>
        <w:tab/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คำว่า “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หลักทรัพย์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” ที่จะกล่าวต่อไป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ในแนวทาง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การ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ปฏิบัติ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งาน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นี้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ให้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หมาย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ความ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ถึงหลักทรัพย์</w:t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>และสัญญา</w:t>
      </w:r>
      <w:r w:rsidR="00D73433" w:rsidRPr="00ED00B1">
        <w:rPr>
          <w:rFonts w:ascii="DilleniaUPC" w:eastAsia="Cordia New" w:hAnsi="DilleniaUPC" w:cs="DilleniaUPC"/>
          <w:sz w:val="30"/>
          <w:szCs w:val="30"/>
        </w:rPr>
        <w:br/>
      </w:r>
      <w:r w:rsidR="00852C4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ซื้อขายล่วงหน้าตามข้อ </w:t>
      </w:r>
      <w:r w:rsidR="00852C4A" w:rsidRPr="00ED00B1">
        <w:rPr>
          <w:rFonts w:ascii="DilleniaUPC" w:eastAsia="Cordia New" w:hAnsi="DilleniaUPC" w:cs="DilleniaUPC"/>
          <w:sz w:val="30"/>
          <w:szCs w:val="30"/>
        </w:rPr>
        <w:t>2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เว้นแต่จะมีการกำหนดไว้เป็นอย่างอื่นเป็นการเฉพาะ</w:t>
      </w:r>
    </w:p>
    <w:p w14:paraId="3012467A" w14:textId="34723294" w:rsidR="00FB4308" w:rsidRPr="00ED00B1" w:rsidRDefault="005571B8" w:rsidP="005A5F16">
      <w:pPr>
        <w:widowControl w:val="0"/>
        <w:tabs>
          <w:tab w:val="left" w:pos="1276"/>
        </w:tabs>
        <w:spacing w:before="120"/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ข้อ </w:t>
      </w:r>
      <w:r w:rsidR="00852C4A" w:rsidRPr="00ED00B1">
        <w:rPr>
          <w:rFonts w:ascii="DilleniaUPC" w:eastAsia="Cordia New" w:hAnsi="DilleniaUPC" w:cs="DilleniaUPC"/>
          <w:sz w:val="30"/>
          <w:szCs w:val="30"/>
        </w:rPr>
        <w:t>4</w:t>
      </w:r>
      <w:r w:rsidR="00A45B9A"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="002853CA" w:rsidRPr="00ED00B1">
        <w:rPr>
          <w:rFonts w:ascii="DilleniaUPC" w:eastAsia="Cordia New" w:hAnsi="DilleniaUPC" w:cs="DilleniaUPC"/>
          <w:sz w:val="30"/>
          <w:szCs w:val="30"/>
          <w:cs/>
        </w:rPr>
        <w:t>ให้</w:t>
      </w:r>
      <w:r w:rsidR="00FB4308" w:rsidRPr="00ED00B1">
        <w:rPr>
          <w:rFonts w:ascii="DilleniaUPC" w:hAnsi="DilleniaUPC" w:cs="DilleniaUPC"/>
          <w:sz w:val="30"/>
          <w:szCs w:val="30"/>
          <w:cs/>
        </w:rPr>
        <w:t>สมาชิกกำหนดระเบียบวิธีปฏิบัติในการพิจารณากำหนดวงเงินซื้อขายหลักทรัพย์ให้แก่ลูกค้าที่เป็น</w:t>
      </w:r>
      <w:r w:rsidR="00D73433" w:rsidRPr="00ED00B1">
        <w:rPr>
          <w:rFonts w:ascii="DilleniaUPC" w:hAnsi="DilleniaUPC" w:cs="DilleniaUPC"/>
          <w:sz w:val="30"/>
          <w:szCs w:val="30"/>
        </w:rPr>
        <w:br/>
      </w:r>
      <w:r w:rsidR="00FB4308" w:rsidRPr="00ED00B1">
        <w:rPr>
          <w:rFonts w:ascii="DilleniaUPC" w:hAnsi="DilleniaUPC" w:cs="DilleniaUPC"/>
          <w:sz w:val="30"/>
          <w:szCs w:val="30"/>
          <w:cs/>
        </w:rPr>
        <w:t xml:space="preserve">ลายลักษณ์อักษรและได้รับความเห็นชอบจากคณะกรรมการบริษัท </w:t>
      </w:r>
      <w:r w:rsidR="00B20CA7" w:rsidRPr="00ED00B1">
        <w:rPr>
          <w:rFonts w:ascii="DilleniaUPC" w:hAnsi="DilleniaUPC" w:cs="DilleniaUPC"/>
          <w:sz w:val="30"/>
          <w:szCs w:val="30"/>
          <w:cs/>
        </w:rPr>
        <w:t>หรือคณะกรรมการอื่นที่ได้รับมอบหมายจากคณะกรรมการบริษัท</w:t>
      </w:r>
      <w:r w:rsidR="00DE756C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FB4308" w:rsidRPr="00ED00B1">
        <w:rPr>
          <w:rFonts w:ascii="DilleniaUPC" w:hAnsi="DilleniaUPC" w:cs="DilleniaUPC"/>
          <w:sz w:val="30"/>
          <w:szCs w:val="30"/>
          <w:cs/>
        </w:rPr>
        <w:t>โดยระเบียบวิธีปฏิบัติดังกล่าว</w:t>
      </w:r>
      <w:r w:rsidR="003F0CCA" w:rsidRPr="00ED00B1">
        <w:rPr>
          <w:rFonts w:ascii="DilleniaUPC" w:hAnsi="DilleniaUPC" w:cs="DilleniaUPC" w:hint="cs"/>
          <w:sz w:val="30"/>
          <w:szCs w:val="30"/>
          <w:cs/>
        </w:rPr>
        <w:t>ต้อง</w:t>
      </w:r>
      <w:r w:rsidR="00FB4308" w:rsidRPr="00ED00B1">
        <w:rPr>
          <w:rFonts w:ascii="DilleniaUPC" w:hAnsi="DilleniaUPC" w:cs="DilleniaUPC"/>
          <w:sz w:val="30"/>
          <w:szCs w:val="30"/>
          <w:cs/>
        </w:rPr>
        <w:t>ครอบคลุมอย่างน้อยในเรื่องต่าง</w:t>
      </w:r>
      <w:r w:rsidR="00036839" w:rsidRPr="00ED00B1">
        <w:rPr>
          <w:rFonts w:ascii="DilleniaUPC" w:hAnsi="DilleniaUPC" w:cs="DilleniaUPC"/>
          <w:sz w:val="30"/>
          <w:szCs w:val="30"/>
        </w:rPr>
        <w:t xml:space="preserve"> </w:t>
      </w:r>
      <w:r w:rsidR="00FB4308" w:rsidRPr="00ED00B1">
        <w:rPr>
          <w:rFonts w:ascii="DilleniaUPC" w:hAnsi="DilleniaUPC" w:cs="DilleniaUPC"/>
          <w:sz w:val="30"/>
          <w:szCs w:val="30"/>
          <w:cs/>
        </w:rPr>
        <w:t>ๆ</w:t>
      </w:r>
      <w:r w:rsidR="00036839" w:rsidRPr="00ED00B1">
        <w:rPr>
          <w:rFonts w:ascii="DilleniaUPC" w:hAnsi="DilleniaUPC" w:cs="DilleniaUPC"/>
          <w:sz w:val="30"/>
          <w:szCs w:val="30"/>
        </w:rPr>
        <w:t xml:space="preserve"> </w:t>
      </w:r>
      <w:r w:rsidR="00FB4308" w:rsidRPr="00ED00B1">
        <w:rPr>
          <w:rFonts w:ascii="DilleniaUPC" w:hAnsi="DilleniaUPC" w:cs="DilleniaUPC"/>
          <w:sz w:val="30"/>
          <w:szCs w:val="30"/>
          <w:cs/>
        </w:rPr>
        <w:t>ตามแนวทางการปฏิบัติงานนี้</w:t>
      </w:r>
      <w:r w:rsidR="00E47DC1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47DC1" w:rsidRPr="00ED00B1">
        <w:rPr>
          <w:rFonts w:ascii="DilleniaUPC" w:hAnsi="DilleniaUPC" w:cs="DilleniaUPC"/>
          <w:sz w:val="30"/>
          <w:szCs w:val="30"/>
          <w:cs/>
        </w:rPr>
        <w:t>เว้นแต่แสดงได้ว่ามีวิธีการอื่น</w:t>
      </w:r>
      <w:r w:rsidR="007717C2" w:rsidRPr="00ED00B1">
        <w:rPr>
          <w:rFonts w:ascii="DilleniaUPC" w:hAnsi="DilleniaUPC" w:cs="DilleniaUPC"/>
          <w:sz w:val="30"/>
          <w:szCs w:val="30"/>
          <w:cs/>
        </w:rPr>
        <w:t>ที่</w:t>
      </w:r>
      <w:r w:rsidR="003004FE" w:rsidRPr="00ED00B1">
        <w:rPr>
          <w:rFonts w:ascii="DilleniaUPC" w:hAnsi="DilleniaUPC" w:cs="DilleniaUPC" w:hint="cs"/>
          <w:sz w:val="30"/>
          <w:szCs w:val="30"/>
          <w:cs/>
        </w:rPr>
        <w:t>ให้ผล</w:t>
      </w:r>
      <w:r w:rsidR="00245DE4" w:rsidRPr="00ED00B1">
        <w:rPr>
          <w:rFonts w:ascii="DilleniaUPC" w:hAnsi="DilleniaUPC" w:cs="DilleniaUPC" w:hint="cs"/>
          <w:sz w:val="30"/>
          <w:szCs w:val="30"/>
          <w:cs/>
        </w:rPr>
        <w:t>ได้</w:t>
      </w:r>
      <w:r w:rsidR="009F2510" w:rsidRPr="00ED00B1">
        <w:rPr>
          <w:rFonts w:ascii="DilleniaUPC" w:hAnsi="DilleniaUPC" w:cs="DilleniaUPC"/>
          <w:sz w:val="30"/>
          <w:szCs w:val="30"/>
          <w:cs/>
        </w:rPr>
        <w:t>เทียบเท่ากับแนวทางการปฏิบัติงานฉบับนี้</w:t>
      </w:r>
    </w:p>
    <w:p w14:paraId="3361BE7A" w14:textId="0E7CC595" w:rsidR="004B33DD" w:rsidRPr="00ED00B1" w:rsidRDefault="005571B8" w:rsidP="005A5F16">
      <w:pPr>
        <w:widowControl w:val="0"/>
        <w:tabs>
          <w:tab w:val="left" w:pos="1276"/>
        </w:tabs>
        <w:spacing w:before="120"/>
        <w:ind w:firstLine="72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ข้อ </w:t>
      </w:r>
      <w:r w:rsidR="00852C4A" w:rsidRPr="00ED00B1">
        <w:rPr>
          <w:rFonts w:ascii="DilleniaUPC" w:eastAsia="Cordia New" w:hAnsi="DilleniaUPC" w:cs="DilleniaUPC"/>
          <w:sz w:val="30"/>
          <w:szCs w:val="30"/>
        </w:rPr>
        <w:t>5</w:t>
      </w:r>
      <w:r w:rsidR="006466F9"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>การกำหนดวงเงินซื้อขายหลักทรัพย์ของลูกค้า</w:t>
      </w:r>
    </w:p>
    <w:p w14:paraId="18F14DD9" w14:textId="0C2329E1" w:rsidR="004B33DD" w:rsidRPr="00ED00B1" w:rsidRDefault="00852C4A" w:rsidP="005A5F16">
      <w:pPr>
        <w:widowControl w:val="0"/>
        <w:tabs>
          <w:tab w:val="left" w:pos="1701"/>
        </w:tabs>
        <w:ind w:firstLine="1276"/>
        <w:jc w:val="thaiDistribute"/>
        <w:rPr>
          <w:rFonts w:ascii="DilleniaUPC" w:eastAsia="Calibri" w:hAnsi="DilleniaUPC" w:cs="DilleniaUPC"/>
          <w:spacing w:val="-2"/>
          <w:sz w:val="30"/>
          <w:szCs w:val="30"/>
          <w:lang w:eastAsia="en-US"/>
        </w:rPr>
      </w:pPr>
      <w:r w:rsidRPr="00ED00B1">
        <w:rPr>
          <w:rFonts w:ascii="DilleniaUPC" w:eastAsia="Cordia New" w:hAnsi="DilleniaUPC" w:cs="DilleniaUPC"/>
          <w:sz w:val="30"/>
          <w:szCs w:val="30"/>
        </w:rPr>
        <w:t>5</w:t>
      </w:r>
      <w:r w:rsidR="00D522A6" w:rsidRPr="00ED00B1">
        <w:rPr>
          <w:rFonts w:ascii="DilleniaUPC" w:eastAsia="Cordia New" w:hAnsi="DilleniaUPC" w:cs="DilleniaUPC"/>
          <w:sz w:val="30"/>
          <w:szCs w:val="30"/>
        </w:rPr>
        <w:t>.1</w:t>
      </w:r>
      <w:r w:rsidR="00D06FCA" w:rsidRPr="00ED00B1">
        <w:rPr>
          <w:rFonts w:ascii="DilleniaUPC" w:eastAsia="Cordia New" w:hAnsi="DilleniaUPC" w:cs="DilleniaUPC"/>
          <w:sz w:val="30"/>
          <w:szCs w:val="30"/>
        </w:rPr>
        <w:tab/>
      </w:r>
      <w:r w:rsidR="00653E3E" w:rsidRPr="00ED00B1">
        <w:rPr>
          <w:rFonts w:ascii="DilleniaUPC" w:eastAsia="Cordia New" w:hAnsi="DilleniaUPC" w:cs="DilleniaUPC"/>
          <w:sz w:val="30"/>
          <w:szCs w:val="30"/>
          <w:cs/>
        </w:rPr>
        <w:t>ปัจจัยในการพิจารณา</w:t>
      </w:r>
      <w:r w:rsidR="00653E3E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4B33DD" w:rsidRPr="00ED00B1">
        <w:rPr>
          <w:rFonts w:ascii="DilleniaUPC" w:eastAsia="Cordia New" w:hAnsi="DilleniaUPC" w:cs="DilleniaUPC"/>
          <w:sz w:val="30"/>
          <w:szCs w:val="30"/>
          <w:cs/>
        </w:rPr>
        <w:t>ในการกำหนดขนา</w:t>
      </w:r>
      <w:r w:rsidR="00844DB9" w:rsidRPr="00ED00B1">
        <w:rPr>
          <w:rFonts w:ascii="DilleniaUPC" w:eastAsia="Cordia New" w:hAnsi="DilleniaUPC" w:cs="DilleniaUPC" w:hint="cs"/>
          <w:sz w:val="30"/>
          <w:szCs w:val="30"/>
          <w:cs/>
        </w:rPr>
        <w:t>ด</w:t>
      </w:r>
      <w:r w:rsidR="004B33DD" w:rsidRPr="00ED00B1">
        <w:rPr>
          <w:rFonts w:ascii="DilleniaUPC" w:eastAsia="Cordia New" w:hAnsi="DilleniaUPC" w:cs="DilleniaUPC"/>
          <w:sz w:val="30"/>
          <w:szCs w:val="30"/>
          <w:cs/>
        </w:rPr>
        <w:t>วงเงินซื้อขายหลักทรัพย์</w:t>
      </w:r>
      <w:r w:rsidR="00724B51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และอำนาจซื้อขายหลักทรัพย์ </w:t>
      </w:r>
      <w:r w:rsidR="00EF7D16">
        <w:rPr>
          <w:rFonts w:ascii="DilleniaUPC" w:eastAsia="Cordia New" w:hAnsi="DilleniaUPC" w:cs="DilleniaUPC"/>
          <w:sz w:val="30"/>
          <w:szCs w:val="30"/>
          <w:cs/>
        </w:rPr>
        <w:br/>
      </w:r>
      <w:r w:rsidR="004B33DD" w:rsidRPr="00ED00B1">
        <w:rPr>
          <w:rFonts w:ascii="DilleniaUPC" w:eastAsia="Cordia New" w:hAnsi="DilleniaUPC" w:cs="DilleniaUPC"/>
          <w:sz w:val="30"/>
          <w:szCs w:val="30"/>
          <w:cs/>
        </w:rPr>
        <w:t>ให้</w:t>
      </w:r>
      <w:r w:rsidR="004B33DD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สมาชิกวิเคราะห์และกำหนดขนาดวงเงินซื้อขายหลักทรัพย์</w:t>
      </w:r>
      <w:r w:rsidR="000B707E" w:rsidRPr="00ED00B1">
        <w:rPr>
          <w:rFonts w:ascii="DilleniaUPC" w:eastAsia="Cordia New" w:hAnsi="DilleniaUPC" w:cs="DilleniaUPC"/>
          <w:sz w:val="30"/>
          <w:szCs w:val="30"/>
          <w:cs/>
        </w:rPr>
        <w:t>ที่เหมาะสมกับ</w:t>
      </w:r>
      <w:r w:rsidR="008B1796" w:rsidRPr="00ED00B1">
        <w:rPr>
          <w:rFonts w:ascii="DilleniaUPC" w:eastAsia="Cordia New" w:hAnsi="DilleniaUPC" w:cs="DilleniaUPC"/>
          <w:sz w:val="30"/>
          <w:szCs w:val="30"/>
          <w:cs/>
        </w:rPr>
        <w:t>ความเสี่ยงของสมาชิก</w:t>
      </w:r>
      <w:r w:rsidR="00FA495C" w:rsidRPr="00ED00B1">
        <w:rPr>
          <w:rFonts w:ascii="DilleniaUPC" w:eastAsia="Cordia New" w:hAnsi="DilleniaUPC" w:cs="DilleniaUPC"/>
          <w:sz w:val="30"/>
          <w:szCs w:val="30"/>
          <w:cs/>
        </w:rPr>
        <w:t>หากลูกค้าผิดนัดชำระหนี้</w:t>
      </w:r>
      <w:r w:rsidR="00ED244D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br/>
      </w:r>
      <w:r w:rsidR="00FA495C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หรือส่งมอบหลักทรัพย์ล่าช้า</w:t>
      </w:r>
      <w:r w:rsidR="00796523" w:rsidRPr="00ED00B1">
        <w:rPr>
          <w:rFonts w:ascii="DilleniaUPC" w:eastAsia="Cordia New" w:hAnsi="DilleniaUPC" w:cs="DilleniaUPC" w:hint="cs"/>
          <w:spacing w:val="-4"/>
          <w:sz w:val="30"/>
          <w:szCs w:val="30"/>
          <w:cs/>
        </w:rPr>
        <w:t xml:space="preserve"> รวมทั้ง</w:t>
      </w:r>
      <w:r w:rsidR="00FA495C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 xml:space="preserve">ความเสี่ยงต่อความเป็นระเบียบเรียบร้อยของตลาดทุนโดยรวม </w:t>
      </w:r>
      <w:r w:rsidR="00225DB4" w:rsidRPr="00ED00B1">
        <w:rPr>
          <w:rFonts w:ascii="DilleniaUPC" w:eastAsia="Cordia New" w:hAnsi="DilleniaUPC" w:cs="DilleniaUPC" w:hint="cs"/>
          <w:spacing w:val="-4"/>
          <w:sz w:val="30"/>
          <w:szCs w:val="30"/>
          <w:cs/>
        </w:rPr>
        <w:t xml:space="preserve">โดยครอบคลุมปัจจัย </w:t>
      </w:r>
      <w:r w:rsidR="008B1796" w:rsidRPr="00ED00B1">
        <w:rPr>
          <w:rFonts w:ascii="DilleniaUPC" w:eastAsia="Calibri" w:hAnsi="DilleniaUPC" w:cs="DilleniaUPC"/>
          <w:spacing w:val="-4"/>
          <w:sz w:val="30"/>
          <w:szCs w:val="30"/>
          <w:cs/>
          <w:lang w:eastAsia="en-US"/>
        </w:rPr>
        <w:t>ดังนี้</w:t>
      </w:r>
    </w:p>
    <w:p w14:paraId="3C32A9EC" w14:textId="211BB1D2" w:rsidR="00F20BC1" w:rsidRPr="00ED00B1" w:rsidRDefault="00F20BC1" w:rsidP="005A5F16">
      <w:pPr>
        <w:pStyle w:val="ListParagraph"/>
        <w:widowControl w:val="0"/>
        <w:numPr>
          <w:ilvl w:val="0"/>
          <w:numId w:val="28"/>
        </w:numPr>
        <w:tabs>
          <w:tab w:val="left" w:pos="2127"/>
        </w:tabs>
        <w:spacing w:after="0" w:line="240" w:lineRule="auto"/>
        <w:ind w:left="2126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 xml:space="preserve">ความเสี่ยงของลูกค้า </w:t>
      </w:r>
      <w:r w:rsidR="001954B3" w:rsidRPr="00ED00B1">
        <w:rPr>
          <w:rFonts w:ascii="DilleniaUPC" w:hAnsi="DilleniaUPC" w:cs="DilleniaUPC" w:hint="cs"/>
          <w:sz w:val="30"/>
          <w:szCs w:val="30"/>
          <w:cs/>
        </w:rPr>
        <w:t xml:space="preserve">ตามข้อ </w:t>
      </w:r>
      <w:r w:rsidR="004532FC" w:rsidRPr="00ED00B1">
        <w:rPr>
          <w:rFonts w:ascii="DilleniaUPC" w:hAnsi="DilleniaUPC" w:cs="DilleniaUPC"/>
          <w:sz w:val="30"/>
          <w:szCs w:val="30"/>
        </w:rPr>
        <w:t>6</w:t>
      </w:r>
    </w:p>
    <w:p w14:paraId="0985272A" w14:textId="3E818B46" w:rsidR="00F20BC1" w:rsidRPr="00ED00B1" w:rsidRDefault="00DA644D" w:rsidP="005A5F16">
      <w:pPr>
        <w:pStyle w:val="ListParagraph"/>
        <w:widowControl w:val="0"/>
        <w:numPr>
          <w:ilvl w:val="0"/>
          <w:numId w:val="28"/>
        </w:numPr>
        <w:tabs>
          <w:tab w:val="left" w:pos="2127"/>
        </w:tabs>
        <w:spacing w:after="0" w:line="240" w:lineRule="auto"/>
        <w:ind w:left="2126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>ความเสี่ยงของหลักทรัพย์ที่นำมาแสดง และที่นำมาวางเป็น</w:t>
      </w:r>
      <w:r w:rsidR="00724B51" w:rsidRPr="00ED00B1">
        <w:rPr>
          <w:rFonts w:ascii="DilleniaUPC" w:hAnsi="DilleniaUPC" w:cs="DilleniaUPC" w:hint="cs"/>
          <w:sz w:val="30"/>
          <w:szCs w:val="30"/>
          <w:cs/>
        </w:rPr>
        <w:t>หลักประกัน</w:t>
      </w:r>
      <w:r w:rsidR="00AD1821" w:rsidRPr="00ED00B1">
        <w:rPr>
          <w:rFonts w:ascii="DilleniaUPC" w:hAnsi="DilleniaUPC" w:cs="DilleniaUPC"/>
          <w:sz w:val="30"/>
          <w:szCs w:val="30"/>
        </w:rPr>
        <w:t xml:space="preserve"> </w:t>
      </w:r>
      <w:r w:rsidR="00AD1821" w:rsidRPr="00ED00B1">
        <w:rPr>
          <w:rFonts w:ascii="DilleniaUPC" w:hAnsi="DilleniaUPC" w:cs="DilleniaUPC" w:hint="cs"/>
          <w:sz w:val="30"/>
          <w:szCs w:val="30"/>
          <w:cs/>
        </w:rPr>
        <w:t>ตามข้อ</w:t>
      </w:r>
      <w:r w:rsidR="00AD1821" w:rsidRPr="00ED00B1">
        <w:rPr>
          <w:rFonts w:ascii="DilleniaUPC" w:hAnsi="DilleniaUPC" w:cs="DilleniaUPC"/>
          <w:sz w:val="30"/>
          <w:szCs w:val="30"/>
        </w:rPr>
        <w:t xml:space="preserve"> </w:t>
      </w:r>
      <w:r w:rsidR="004532FC" w:rsidRPr="00ED00B1">
        <w:rPr>
          <w:rFonts w:ascii="DilleniaUPC" w:hAnsi="DilleniaUPC" w:cs="DilleniaUPC"/>
          <w:sz w:val="30"/>
          <w:szCs w:val="30"/>
        </w:rPr>
        <w:t>7</w:t>
      </w:r>
    </w:p>
    <w:p w14:paraId="3B68F3C7" w14:textId="2CD6FB04" w:rsidR="00796523" w:rsidRPr="00ED00B1" w:rsidRDefault="00796523" w:rsidP="005A5F16">
      <w:pPr>
        <w:pStyle w:val="ListParagraph"/>
        <w:widowControl w:val="0"/>
        <w:numPr>
          <w:ilvl w:val="0"/>
          <w:numId w:val="28"/>
        </w:numPr>
        <w:tabs>
          <w:tab w:val="left" w:pos="2127"/>
        </w:tabs>
        <w:spacing w:after="0" w:line="240" w:lineRule="auto"/>
        <w:ind w:left="2126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>ความสามารถในการรับความเสี</w:t>
      </w:r>
      <w:r w:rsidR="00844DB9" w:rsidRPr="00ED00B1">
        <w:rPr>
          <w:rFonts w:ascii="DilleniaUPC" w:hAnsi="DilleniaUPC" w:cs="DilleniaUPC" w:hint="cs"/>
          <w:sz w:val="30"/>
          <w:szCs w:val="30"/>
          <w:cs/>
        </w:rPr>
        <w:t>่ยง</w:t>
      </w:r>
      <w:r w:rsidR="00F372D8" w:rsidRPr="00ED00B1">
        <w:rPr>
          <w:rFonts w:ascii="DilleniaUPC" w:hAnsi="DilleniaUPC" w:cs="DilleniaUPC" w:hint="cs"/>
          <w:sz w:val="30"/>
          <w:szCs w:val="30"/>
          <w:cs/>
        </w:rPr>
        <w:t>ของ</w:t>
      </w:r>
      <w:r w:rsidR="00951D16" w:rsidRPr="00ED00B1">
        <w:rPr>
          <w:rFonts w:ascii="DilleniaUPC" w:hAnsi="DilleniaUPC" w:cs="DilleniaUPC" w:hint="cs"/>
          <w:sz w:val="30"/>
          <w:szCs w:val="30"/>
          <w:cs/>
        </w:rPr>
        <w:t>สมาชิก</w:t>
      </w:r>
    </w:p>
    <w:p w14:paraId="1DA4F879" w14:textId="221B892F" w:rsidR="00461E3D" w:rsidRPr="00ED00B1" w:rsidRDefault="00852C4A" w:rsidP="005A5F16">
      <w:pPr>
        <w:widowControl w:val="0"/>
        <w:tabs>
          <w:tab w:val="left" w:pos="1701"/>
        </w:tabs>
        <w:ind w:firstLine="1267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</w:rPr>
        <w:t>5</w:t>
      </w:r>
      <w:r w:rsidR="00461E3D" w:rsidRPr="00ED00B1">
        <w:rPr>
          <w:rFonts w:ascii="DilleniaUPC" w:eastAsia="Cordia New" w:hAnsi="DilleniaUPC" w:cs="DilleniaUPC"/>
          <w:sz w:val="30"/>
          <w:szCs w:val="30"/>
        </w:rPr>
        <w:t>.2</w:t>
      </w:r>
      <w:r w:rsidR="00D06FCA"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ให้สมาชิกกำหนดวงเงินสูงสุดที่สมาชิกจะให้กับลูกค้าต่อราย (รวมผู้เกี่ยวข้อง</w:t>
      </w:r>
      <w:r w:rsidR="00461E3D" w:rsidRPr="00ED00B1">
        <w:rPr>
          <w:rFonts w:ascii="DilleniaUPC" w:eastAsia="Cordia New" w:hAnsi="DilleniaUPC" w:cs="DilleniaUPC"/>
          <w:sz w:val="30"/>
          <w:szCs w:val="30"/>
        </w:rPr>
        <w:t xml:space="preserve">) </w:t>
      </w:r>
      <w:r w:rsidR="00527859" w:rsidRPr="00ED00B1">
        <w:rPr>
          <w:rFonts w:ascii="DilleniaUPC" w:eastAsia="Cordia New" w:hAnsi="DilleniaUPC" w:cs="DilleniaUPC"/>
          <w:sz w:val="30"/>
          <w:szCs w:val="30"/>
          <w:cs/>
        </w:rPr>
        <w:t>และลูกค้าทุกรายรวมกัน</w:t>
      </w:r>
      <w:r w:rsidR="0052785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เทียบเคียงกับขนาดของเงินกองทุนของสมาชิกอย่างเหมาะสม เพื่อมิให้เกิดการกระจุกตัวในการให้วงเงินแก่ลูกค้ารายใดรายหนึ่ง</w:t>
      </w:r>
      <w:r w:rsidR="00003C0C" w:rsidRPr="00ED00B1">
        <w:rPr>
          <w:rFonts w:ascii="DilleniaUPC" w:eastAsia="Cordia New" w:hAnsi="DilleniaUPC" w:cs="DilleniaUPC" w:hint="cs"/>
          <w:sz w:val="30"/>
          <w:szCs w:val="30"/>
          <w:cs/>
        </w:rPr>
        <w:t>หรือกลุ่มใดกลุ่มหนึ่ง</w:t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สูงเกินไป รวมทั้งเพื่อมิให้สมาชิกให้วงเงินลูกค้าสูงเกินฐานะของสมาชิก อันอาจจะส่งผลกระทบต่อสภาพคล่องของสมาชิกที่มีผลต่อการดำเนินธุรกิจได้อย่างต่อเนื่อง ความสามารถในการชำระราคาและส่งมอบหลักทรัพย์ของสมาชิก ไปจนถึงเสถียรภาพของระบบชำระราคาและส่งมอบหลักทรัพย์โดยรวม</w:t>
      </w:r>
    </w:p>
    <w:p w14:paraId="5ADF92D7" w14:textId="22FB07E8" w:rsidR="00362AA1" w:rsidRPr="00ED00B1" w:rsidRDefault="00852C4A" w:rsidP="005A5F16">
      <w:pPr>
        <w:widowControl w:val="0"/>
        <w:tabs>
          <w:tab w:val="left" w:pos="1701"/>
        </w:tabs>
        <w:ind w:firstLine="1267"/>
        <w:jc w:val="thaiDistribute"/>
        <w:rPr>
          <w:rFonts w:ascii="DilleniaUPC" w:eastAsia="Cordia New" w:hAnsi="DilleniaUPC" w:cs="DilleniaUPC"/>
          <w:sz w:val="30"/>
          <w:szCs w:val="30"/>
        </w:rPr>
      </w:pPr>
      <w:bookmarkStart w:id="6" w:name="_Hlk171410383"/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>5</w:t>
      </w:r>
      <w:r w:rsidR="00362AA1" w:rsidRPr="00ED00B1">
        <w:rPr>
          <w:rFonts w:ascii="DilleniaUPC" w:eastAsia="Calibri" w:hAnsi="DilleniaUPC" w:cs="DilleniaUPC"/>
          <w:sz w:val="30"/>
          <w:szCs w:val="30"/>
          <w:lang w:eastAsia="en-US"/>
        </w:rPr>
        <w:t>.3</w:t>
      </w:r>
      <w:r w:rsidR="00362AA1" w:rsidRPr="00ED00B1">
        <w:rPr>
          <w:rFonts w:ascii="DilleniaUPC" w:eastAsia="Cordia New" w:hAnsi="DilleniaUPC" w:cs="DilleniaUPC"/>
          <w:sz w:val="30"/>
          <w:szCs w:val="30"/>
        </w:rPr>
        <w:tab/>
      </w:r>
      <w:r w:rsidR="00362AA1" w:rsidRPr="00ED00B1">
        <w:rPr>
          <w:rFonts w:ascii="DilleniaUPC" w:eastAsia="Cordia New" w:hAnsi="DilleniaUPC" w:cs="DilleniaUPC"/>
          <w:sz w:val="30"/>
          <w:szCs w:val="30"/>
          <w:cs/>
        </w:rPr>
        <w:t>ให้สมาชิกกำหนดวงเงินของลูกค้าแต่ละราย</w:t>
      </w:r>
      <w:r w:rsidR="00362AA1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โดย</w:t>
      </w:r>
      <w:r w:rsidR="00362AA1" w:rsidRPr="00ED00B1">
        <w:rPr>
          <w:rFonts w:ascii="DilleniaUPC" w:eastAsia="Cordia New" w:hAnsi="DilleniaUPC" w:cs="DilleniaUPC"/>
          <w:sz w:val="30"/>
          <w:szCs w:val="30"/>
          <w:cs/>
        </w:rPr>
        <w:t xml:space="preserve">พิจารณารวมทุกประเภทบัญชีและธุรกรรม </w:t>
      </w:r>
      <w:r w:rsidR="00A563CB" w:rsidRPr="00ED00B1">
        <w:rPr>
          <w:rFonts w:ascii="DilleniaUPC" w:eastAsia="Cordia New" w:hAnsi="DilleniaUPC" w:cs="DilleniaUPC"/>
          <w:sz w:val="30"/>
          <w:szCs w:val="30"/>
          <w:cs/>
        </w:rPr>
        <w:t>(</w:t>
      </w:r>
      <w:r w:rsidR="00A563CB" w:rsidRPr="00ED00B1">
        <w:rPr>
          <w:rFonts w:ascii="DilleniaUPC" w:eastAsia="Cordia New" w:hAnsi="DilleniaUPC" w:cs="DilleniaUPC"/>
          <w:sz w:val="30"/>
          <w:szCs w:val="30"/>
        </w:rPr>
        <w:t xml:space="preserve">Total Exposure) </w:t>
      </w:r>
      <w:r w:rsidR="002A376E" w:rsidRPr="00ED00B1">
        <w:rPr>
          <w:rFonts w:ascii="DilleniaUPC" w:eastAsia="Cordia New" w:hAnsi="DilleniaUPC" w:cs="DilleniaUPC"/>
          <w:sz w:val="30"/>
          <w:szCs w:val="30"/>
          <w:cs/>
        </w:rPr>
        <w:t>ยกเว้นธุรกรรม</w:t>
      </w:r>
      <w:bookmarkStart w:id="7" w:name="_Hlk174967704"/>
      <w:r w:rsidR="002A376E" w:rsidRPr="00ED00B1">
        <w:rPr>
          <w:rFonts w:ascii="DilleniaUPC" w:eastAsia="Cordia New" w:hAnsi="DilleniaUPC" w:cs="DilleniaUPC"/>
          <w:sz w:val="30"/>
          <w:szCs w:val="30"/>
          <w:cs/>
        </w:rPr>
        <w:t>ที่เกี่ยวกับตราสารหนี้</w:t>
      </w:r>
      <w:r w:rsidR="00161D5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2A376E" w:rsidRPr="00ED00B1">
        <w:rPr>
          <w:rFonts w:ascii="DilleniaUPC" w:eastAsia="Cordia New" w:hAnsi="DilleniaUPC" w:cs="DilleniaUPC"/>
          <w:sz w:val="30"/>
          <w:szCs w:val="30"/>
          <w:cs/>
        </w:rPr>
        <w:t>หน่วยลงทุน</w:t>
      </w:r>
      <w:r w:rsidR="00161D5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และ</w:t>
      </w:r>
      <w:r w:rsidR="00FC01D5" w:rsidRPr="00ED00B1">
        <w:rPr>
          <w:rFonts w:ascii="DilleniaUPC" w:eastAsia="Cordia New" w:hAnsi="DilleniaUPC" w:cs="DilleniaUPC" w:hint="cs"/>
          <w:sz w:val="30"/>
          <w:szCs w:val="30"/>
          <w:cs/>
        </w:rPr>
        <w:t>ตราสาร</w:t>
      </w:r>
      <w:r w:rsidR="00DB5211" w:rsidRPr="00ED00B1">
        <w:rPr>
          <w:rFonts w:ascii="DilleniaUPC" w:eastAsia="Cordia New" w:hAnsi="DilleniaUPC" w:cs="DilleniaUPC" w:hint="cs"/>
          <w:sz w:val="30"/>
          <w:szCs w:val="30"/>
          <w:cs/>
        </w:rPr>
        <w:t>ใน</w:t>
      </w:r>
      <w:r w:rsidR="00161D5D" w:rsidRPr="00ED00B1">
        <w:rPr>
          <w:rFonts w:ascii="DilleniaUPC" w:eastAsia="Cordia New" w:hAnsi="DilleniaUPC" w:cs="DilleniaUPC" w:hint="cs"/>
          <w:sz w:val="30"/>
          <w:szCs w:val="30"/>
          <w:cs/>
        </w:rPr>
        <w:t>ต่างประเทศ</w:t>
      </w:r>
      <w:r w:rsidR="002A376E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bookmarkEnd w:id="7"/>
      <w:r w:rsidR="00362AA1" w:rsidRPr="00ED00B1">
        <w:rPr>
          <w:rFonts w:ascii="DilleniaUPC" w:eastAsia="Cordia New" w:hAnsi="DilleniaUPC" w:cs="DilleniaUPC" w:hint="cs"/>
          <w:sz w:val="30"/>
          <w:szCs w:val="30"/>
          <w:cs/>
        </w:rPr>
        <w:t>ในกรณีที่</w:t>
      </w:r>
      <w:r w:rsidR="00660314" w:rsidRPr="00ED00B1">
        <w:rPr>
          <w:rFonts w:ascii="DilleniaUPC" w:eastAsia="Cordia New" w:hAnsi="DilleniaUPC" w:cs="DilleniaUPC" w:hint="cs"/>
          <w:sz w:val="30"/>
          <w:szCs w:val="30"/>
          <w:cs/>
        </w:rPr>
        <w:t>สมาชิกพึงทราบได้ว่า</w:t>
      </w:r>
      <w:r w:rsidR="00362AA1" w:rsidRPr="00ED00B1">
        <w:rPr>
          <w:rFonts w:ascii="DilleniaUPC" w:eastAsia="Cordia New" w:hAnsi="DilleniaUPC" w:cs="DilleniaUPC" w:hint="cs"/>
          <w:sz w:val="30"/>
          <w:szCs w:val="30"/>
          <w:cs/>
        </w:rPr>
        <w:t>ลูกค้าเป็นกลุ่มเดียวกันหรือมี</w:t>
      </w:r>
      <w:r w:rsidR="0089346E" w:rsidRPr="00ED00B1">
        <w:rPr>
          <w:rFonts w:ascii="DilleniaUPC" w:eastAsia="Cordia New" w:hAnsi="DilleniaUPC" w:cs="DilleniaUPC" w:hint="cs"/>
          <w:sz w:val="30"/>
          <w:szCs w:val="30"/>
          <w:cs/>
        </w:rPr>
        <w:t>พฤติการณ์</w:t>
      </w:r>
      <w:r w:rsidR="00660314" w:rsidRPr="00ED00B1">
        <w:rPr>
          <w:rFonts w:ascii="DilleniaUPC" w:eastAsia="Cordia New" w:hAnsi="DilleniaUPC" w:cs="DilleniaUPC" w:hint="cs"/>
          <w:sz w:val="30"/>
          <w:szCs w:val="30"/>
          <w:cs/>
        </w:rPr>
        <w:t>ที่</w:t>
      </w:r>
      <w:r w:rsidR="008E5573" w:rsidRPr="00ED00B1">
        <w:rPr>
          <w:rFonts w:ascii="DilleniaUPC" w:eastAsia="Cordia New" w:hAnsi="DilleniaUPC" w:cs="DilleniaUPC" w:hint="cs"/>
          <w:sz w:val="30"/>
          <w:szCs w:val="30"/>
          <w:cs/>
        </w:rPr>
        <w:t>ทำให้พิจารณาได้ว่า</w:t>
      </w:r>
      <w:r w:rsidR="00362AA1" w:rsidRPr="00ED00B1">
        <w:rPr>
          <w:rFonts w:ascii="DilleniaUPC" w:eastAsia="Cordia New" w:hAnsi="DilleniaUPC" w:cs="DilleniaUPC" w:hint="cs"/>
          <w:sz w:val="30"/>
          <w:szCs w:val="30"/>
          <w:cs/>
        </w:rPr>
        <w:t>เป็นกลุ่มเดียวกัน ให้สมาชิกกำหนดวงเงินดังกล่าวโดยคำนึงถึงความเสี่ยงของลูกค้าทั้งกลุ่มนั้นด้วย</w:t>
      </w:r>
      <w:r w:rsidR="0089346E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ทั้งนี้ กรณีดังต่อไปนี้ ให้ถือเป็นกลุ่มเดียวกัน และหากพบลักษณะดังกล่าวในภายหลัง ให้สมาชิกทบทวนการรวมกลุ่มด้วย</w:t>
      </w:r>
    </w:p>
    <w:bookmarkEnd w:id="6"/>
    <w:p w14:paraId="008548FE" w14:textId="16D54603" w:rsidR="0089346E" w:rsidRPr="00ED00B1" w:rsidRDefault="0089346E" w:rsidP="005A5F16">
      <w:pPr>
        <w:pStyle w:val="ListParagraph"/>
        <w:widowControl w:val="0"/>
        <w:numPr>
          <w:ilvl w:val="0"/>
          <w:numId w:val="30"/>
        </w:numPr>
        <w:tabs>
          <w:tab w:val="left" w:pos="2127"/>
        </w:tabs>
        <w:spacing w:after="0" w:line="240" w:lineRule="auto"/>
        <w:ind w:left="2127" w:hanging="426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>ลูกค้าที่อยู่ภายใต้อำนาจควบคุม</w:t>
      </w:r>
      <w:r w:rsidR="00646DC0" w:rsidRPr="00ED00B1">
        <w:rPr>
          <w:rFonts w:ascii="DilleniaUPC" w:hAnsi="DilleniaUPC" w:cs="DilleniaUPC" w:hint="cs"/>
          <w:sz w:val="30"/>
          <w:szCs w:val="30"/>
          <w:cs/>
        </w:rPr>
        <w:t>เดียวกัน</w:t>
      </w:r>
      <w:r w:rsidRPr="00ED00B1">
        <w:rPr>
          <w:rFonts w:ascii="DilleniaUPC" w:hAnsi="DilleniaUPC" w:cs="DilleniaUPC" w:hint="cs"/>
          <w:sz w:val="30"/>
          <w:szCs w:val="30"/>
          <w:cs/>
        </w:rPr>
        <w:t>ในการซื้อขายหลักทรัพย์</w:t>
      </w:r>
    </w:p>
    <w:p w14:paraId="71EFF47E" w14:textId="0EEB971E" w:rsidR="004532FC" w:rsidRPr="00ED00B1" w:rsidRDefault="004532FC" w:rsidP="005A5F16">
      <w:pPr>
        <w:pStyle w:val="ListParagraph"/>
        <w:widowControl w:val="0"/>
        <w:numPr>
          <w:ilvl w:val="0"/>
          <w:numId w:val="30"/>
        </w:numPr>
        <w:tabs>
          <w:tab w:val="left" w:pos="2127"/>
        </w:tabs>
        <w:spacing w:after="0" w:line="240" w:lineRule="auto"/>
        <w:ind w:left="2127" w:hanging="426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>ลูกค้าที่มีแหล่งเงินทุน</w:t>
      </w:r>
      <w:r w:rsidR="00646DC0" w:rsidRPr="00ED00B1">
        <w:rPr>
          <w:rFonts w:ascii="DilleniaUPC" w:hAnsi="DilleniaUPC" w:cs="DilleniaUPC" w:hint="cs"/>
          <w:sz w:val="30"/>
          <w:szCs w:val="30"/>
          <w:cs/>
        </w:rPr>
        <w:t>เดียวกัน</w:t>
      </w:r>
      <w:r w:rsidRPr="00ED00B1">
        <w:rPr>
          <w:rFonts w:ascii="DilleniaUPC" w:hAnsi="DilleniaUPC" w:cs="DilleniaUPC" w:hint="cs"/>
          <w:sz w:val="30"/>
          <w:szCs w:val="30"/>
          <w:cs/>
        </w:rPr>
        <w:t>ที่ใช้ในการชำระราคาซื้อขายหลักทรัพย์</w:t>
      </w:r>
    </w:p>
    <w:p w14:paraId="144DD6EC" w14:textId="754D4AF6" w:rsidR="0089346E" w:rsidRPr="00ED00B1" w:rsidRDefault="004532FC" w:rsidP="005A5F16">
      <w:pPr>
        <w:pStyle w:val="ListParagraph"/>
        <w:widowControl w:val="0"/>
        <w:numPr>
          <w:ilvl w:val="0"/>
          <w:numId w:val="30"/>
        </w:numPr>
        <w:tabs>
          <w:tab w:val="left" w:pos="2127"/>
        </w:tabs>
        <w:spacing w:after="0" w:line="240" w:lineRule="auto"/>
        <w:ind w:left="2126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 w:hint="cs"/>
          <w:sz w:val="30"/>
          <w:szCs w:val="30"/>
          <w:cs/>
        </w:rPr>
        <w:t>ลูกค้าที่มีความเสี่ยงในการชำระราคาและซื้อขายหลักทรัพย์เชื่อมโยงกันอย่างมีนัยสำคัญ</w:t>
      </w:r>
    </w:p>
    <w:p w14:paraId="2D92391A" w14:textId="274A84BB" w:rsidR="006A7F9C" w:rsidRPr="00ED00B1" w:rsidRDefault="006A7F9C" w:rsidP="000952FA">
      <w:pPr>
        <w:pStyle w:val="ListParagraph"/>
        <w:widowControl w:val="0"/>
        <w:tabs>
          <w:tab w:val="left" w:pos="990"/>
          <w:tab w:val="left" w:pos="1350"/>
        </w:tabs>
        <w:spacing w:after="0" w:line="240" w:lineRule="auto"/>
        <w:ind w:left="0" w:firstLine="1701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  <w:cs/>
        </w:rPr>
        <w:t>กรณีลูกค้าเป็นผู้ถือหุ้นรายใหญ่ของบริษัทจดทะเบียน และนำหุ้นจดทะเบียนของบริษัทนั้นไปวางเป็นหลักประกันในการกู้เงินจากแหล่งอื่นใดนอกระบบ ซึ่งสมาชิก</w:t>
      </w:r>
      <w:r w:rsidR="003E17F5" w:rsidRPr="00ED00B1">
        <w:rPr>
          <w:rFonts w:ascii="DilleniaUPC" w:eastAsia="Cordia New" w:hAnsi="DilleniaUPC" w:cs="DilleniaUPC" w:hint="cs"/>
          <w:sz w:val="30"/>
          <w:szCs w:val="30"/>
          <w:cs/>
        </w:rPr>
        <w:t>ได้รับ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ทราบจากข้อมูลที่</w:t>
      </w:r>
      <w:r w:rsidR="002712B9" w:rsidRPr="00ED00B1">
        <w:rPr>
          <w:rFonts w:ascii="DilleniaUPC" w:eastAsia="Cordia New" w:hAnsi="DilleniaUPC" w:cs="DilleniaUPC" w:hint="cs"/>
          <w:sz w:val="30"/>
          <w:szCs w:val="30"/>
          <w:cs/>
        </w:rPr>
        <w:t>มีการ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เผยแพร่ ให้สมาชิกนำข้อมูลมาพิจารณาประกอบการกำหนดวงเงินด้วย</w:t>
      </w:r>
    </w:p>
    <w:p w14:paraId="713B573B" w14:textId="778E2D93" w:rsidR="00A52B7E" w:rsidRPr="00ED00B1" w:rsidRDefault="00A52B7E" w:rsidP="00A52B7E">
      <w:pPr>
        <w:pStyle w:val="ListParagraph"/>
        <w:widowControl w:val="0"/>
        <w:tabs>
          <w:tab w:val="left" w:pos="990"/>
          <w:tab w:val="left" w:pos="1350"/>
        </w:tabs>
        <w:spacing w:after="0" w:line="240" w:lineRule="auto"/>
        <w:ind w:left="0" w:firstLine="1701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ทั้งนี้ </w:t>
      </w:r>
      <w:bookmarkStart w:id="8" w:name="_Hlk175077102"/>
      <w:r w:rsidRPr="00ED00B1">
        <w:rPr>
          <w:rFonts w:ascii="DilleniaUPC" w:eastAsia="Cordia New" w:hAnsi="DilleniaUPC" w:cs="DilleniaUPC"/>
          <w:sz w:val="30"/>
          <w:szCs w:val="30"/>
          <w:cs/>
        </w:rPr>
        <w:t>ให้สมาชิกควบคุมดูแลการทำธุรกรรมของลูกค้าทุกประเภทให้เหมาะสมและสอดคล้องกับศักยภาพทางการเงินและความสามารถในการชำระหนี้ของลูกค้าด้วย เพื่อป้องกันมิใ</w:t>
      </w:r>
      <w:r w:rsidR="008628B0" w:rsidRPr="00ED00B1">
        <w:rPr>
          <w:rFonts w:ascii="DilleniaUPC" w:eastAsia="Cordia New" w:hAnsi="DilleniaUPC" w:cs="DilleniaUPC" w:hint="cs"/>
          <w:sz w:val="30"/>
          <w:szCs w:val="30"/>
          <w:cs/>
        </w:rPr>
        <w:t>ห้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มีการใช้เป็นช่องทางในการหลีกเลี่ยงกฎหมายที่เกี่ยวข้อง เช่น กฎหมายที่เกี่ยวข้องกับการฟอกเงินหรือพฤติกรรมอื่นใดที่อาจบ่งชี้ถึงการอำพรางชื่อเพื่อเปิดบัญชีซื้อขายหลักทรัพย์แทนผู้รับประโยชน์ที่แท้จริง (</w:t>
      </w:r>
      <w:r w:rsidRPr="00ED00B1">
        <w:rPr>
          <w:rFonts w:ascii="DilleniaUPC" w:eastAsia="Cordia New" w:hAnsi="DilleniaUPC" w:cs="DilleniaUPC"/>
          <w:sz w:val="30"/>
          <w:szCs w:val="30"/>
        </w:rPr>
        <w:t>Nominee)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เป็นต้น</w:t>
      </w:r>
      <w:bookmarkEnd w:id="8"/>
    </w:p>
    <w:p w14:paraId="23510434" w14:textId="7F110BF2" w:rsidR="00461E3D" w:rsidRPr="00ED00B1" w:rsidRDefault="004532FC" w:rsidP="005A5F16">
      <w:pPr>
        <w:pStyle w:val="ListParagraph"/>
        <w:widowControl w:val="0"/>
        <w:tabs>
          <w:tab w:val="left" w:pos="990"/>
          <w:tab w:val="left" w:pos="1350"/>
          <w:tab w:val="left" w:pos="1701"/>
        </w:tabs>
        <w:spacing w:after="0" w:line="240" w:lineRule="auto"/>
        <w:ind w:left="0" w:firstLine="1267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</w:rPr>
        <w:lastRenderedPageBreak/>
        <w:t>5</w:t>
      </w:r>
      <w:r w:rsidR="00461E3D" w:rsidRPr="00ED00B1">
        <w:rPr>
          <w:rFonts w:ascii="DilleniaUPC" w:eastAsia="Cordia New" w:hAnsi="DilleniaUPC" w:cs="DilleniaUPC"/>
          <w:sz w:val="30"/>
          <w:szCs w:val="30"/>
        </w:rPr>
        <w:t>.4</w:t>
      </w:r>
      <w:r w:rsidR="00D06FCA" w:rsidRPr="00ED00B1">
        <w:rPr>
          <w:rFonts w:ascii="DilleniaUPC" w:eastAsia="Cordia New" w:hAnsi="DilleniaUPC" w:cs="DilleniaUPC"/>
          <w:sz w:val="30"/>
          <w:szCs w:val="30"/>
        </w:rPr>
        <w:tab/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ให้สมาชิก</w:t>
      </w:r>
      <w:r w:rsidR="00721076" w:rsidRPr="00ED00B1">
        <w:rPr>
          <w:rFonts w:ascii="DilleniaUPC" w:eastAsia="Cordia New" w:hAnsi="DilleniaUPC" w:cs="DilleniaUPC"/>
          <w:sz w:val="30"/>
          <w:szCs w:val="30"/>
          <w:cs/>
        </w:rPr>
        <w:t>กำหนด</w:t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อำนาจซื้อของลูกค้า</w:t>
      </w:r>
      <w:r w:rsidR="001045E4" w:rsidRPr="00ED00B1">
        <w:rPr>
          <w:rFonts w:ascii="DilleniaUPC" w:eastAsia="Cordia New" w:hAnsi="DilleniaUPC" w:cs="DilleniaUPC" w:hint="cs"/>
          <w:sz w:val="30"/>
          <w:szCs w:val="30"/>
          <w:cs/>
        </w:rPr>
        <w:t>ตาม</w:t>
      </w:r>
      <w:r w:rsidR="001045E4" w:rsidRPr="00ED00B1">
        <w:rPr>
          <w:rFonts w:ascii="DilleniaUPC" w:eastAsia="Cordia New" w:hAnsi="DilleniaUPC" w:cs="DilleniaUPC"/>
          <w:sz w:val="30"/>
          <w:szCs w:val="30"/>
          <w:cs/>
        </w:rPr>
        <w:t>ประเภทบัญชีซื้อขายหลักทรัพย์ที่ลูกค้าใช้บริการ</w:t>
      </w:r>
      <w:r w:rsidR="00F02C6B" w:rsidRPr="00ED00B1">
        <w:rPr>
          <w:rFonts w:ascii="DilleniaUPC" w:eastAsia="Cordia New" w:hAnsi="DilleniaUPC" w:cs="DilleniaUPC"/>
          <w:sz w:val="30"/>
          <w:szCs w:val="30"/>
          <w:cs/>
        </w:rPr>
        <w:br/>
      </w:r>
      <w:r w:rsidR="0055644D" w:rsidRPr="00ED00B1">
        <w:rPr>
          <w:rFonts w:ascii="DilleniaUPC" w:eastAsia="Cordia New" w:hAnsi="DilleniaUPC" w:cs="DilleniaUPC" w:hint="cs"/>
          <w:sz w:val="30"/>
          <w:szCs w:val="30"/>
          <w:cs/>
        </w:rPr>
        <w:t>โดยอำนาจซื้อ</w:t>
      </w:r>
      <w:r w:rsidR="004B060C" w:rsidRPr="00ED00B1">
        <w:rPr>
          <w:rFonts w:ascii="DilleniaUPC" w:eastAsia="Cordia New" w:hAnsi="DilleniaUPC" w:cs="DilleniaUPC" w:hint="cs"/>
          <w:sz w:val="30"/>
          <w:szCs w:val="30"/>
          <w:cs/>
        </w:rPr>
        <w:t>ในขณะใดขณะหนึ่ง</w:t>
      </w:r>
      <w:r w:rsidR="00F9647E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55644D" w:rsidRPr="00ED00B1">
        <w:rPr>
          <w:rFonts w:ascii="DilleniaUPC" w:eastAsia="Cordia New" w:hAnsi="DilleniaUPC" w:cs="DilleniaUPC" w:hint="cs"/>
          <w:sz w:val="30"/>
          <w:szCs w:val="30"/>
          <w:cs/>
        </w:rPr>
        <w:t>ต้อง</w:t>
      </w:r>
      <w:r w:rsidR="004B060C" w:rsidRPr="00ED00B1">
        <w:rPr>
          <w:rFonts w:ascii="DilleniaUPC" w:eastAsia="Cordia New" w:hAnsi="DilleniaUPC" w:cs="DilleniaUPC" w:hint="cs"/>
          <w:sz w:val="30"/>
          <w:szCs w:val="30"/>
          <w:cs/>
        </w:rPr>
        <w:t>ไม่เกิน</w:t>
      </w:r>
      <w:r w:rsidR="00461E3D" w:rsidRPr="00ED00B1">
        <w:rPr>
          <w:rFonts w:ascii="DilleniaUPC" w:eastAsia="Cordia New" w:hAnsi="DilleniaUPC" w:cs="DilleniaUPC"/>
          <w:sz w:val="30"/>
          <w:szCs w:val="30"/>
          <w:cs/>
        </w:rPr>
        <w:t>วงเงินซื้อขายหลักทรัพย์ที่สมาชิกกำหนด</w:t>
      </w:r>
      <w:r w:rsidR="00461E3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465515" w:rsidRPr="00ED00B1">
        <w:rPr>
          <w:rFonts w:ascii="DilleniaUPC" w:eastAsia="Cordia New" w:hAnsi="DilleniaUPC" w:cs="DilleniaUPC" w:hint="cs"/>
          <w:sz w:val="30"/>
          <w:szCs w:val="30"/>
          <w:cs/>
        </w:rPr>
        <w:t>ดังนี้</w:t>
      </w:r>
    </w:p>
    <w:p w14:paraId="74F4A816" w14:textId="268E44BA" w:rsidR="004532FC" w:rsidRPr="00ED00B1" w:rsidRDefault="00461E3D" w:rsidP="005A5F16">
      <w:pPr>
        <w:pStyle w:val="ListParagraph"/>
        <w:widowControl w:val="0"/>
        <w:numPr>
          <w:ilvl w:val="0"/>
          <w:numId w:val="31"/>
        </w:numPr>
        <w:tabs>
          <w:tab w:val="left" w:pos="990"/>
          <w:tab w:val="left" w:pos="1350"/>
          <w:tab w:val="left" w:pos="1701"/>
        </w:tabs>
        <w:spacing w:after="0" w:line="240" w:lineRule="auto"/>
        <w:ind w:left="0" w:firstLine="1701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bookmarkStart w:id="9" w:name="_Hlk171410853"/>
      <w:r w:rsidRPr="00ED00B1">
        <w:rPr>
          <w:rFonts w:ascii="DilleniaUPC" w:eastAsia="Cordia New" w:hAnsi="DilleniaUPC" w:cs="DilleniaUPC"/>
          <w:sz w:val="30"/>
          <w:szCs w:val="30"/>
          <w:cs/>
        </w:rPr>
        <w:t>ลูกค้า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ที่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ใช้บริการซื้อขายหลักทรัพย์ผ่านบัญชีประเภท </w:t>
      </w:r>
      <w:r w:rsidR="00E20A3A">
        <w:rPr>
          <w:rFonts w:ascii="DilleniaUPC" w:eastAsia="Cordia New" w:hAnsi="DilleniaUPC" w:cs="DilleniaUPC"/>
          <w:sz w:val="30"/>
          <w:szCs w:val="30"/>
        </w:rPr>
        <w:t>C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ash </w:t>
      </w:r>
      <w:r w:rsidR="00E20A3A">
        <w:rPr>
          <w:rFonts w:ascii="DilleniaUPC" w:eastAsia="Cordia New" w:hAnsi="DilleniaUPC" w:cs="DilleniaUPC"/>
          <w:sz w:val="30"/>
          <w:szCs w:val="30"/>
        </w:rPr>
        <w:t>B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alance 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จะได้รับอำนาจซื้อเท่ากับเงิน</w:t>
      </w:r>
      <w:r w:rsidR="00DB7638" w:rsidRPr="00ED00B1">
        <w:rPr>
          <w:rFonts w:ascii="DilleniaUPC" w:eastAsia="Cordia New" w:hAnsi="DilleniaUPC" w:cs="DilleniaUPC" w:hint="cs"/>
          <w:sz w:val="30"/>
          <w:szCs w:val="30"/>
          <w:cs/>
        </w:rPr>
        <w:t>สด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ที่นำมาวาง</w:t>
      </w:r>
      <w:r w:rsidR="00B4771D" w:rsidRPr="00ED00B1">
        <w:rPr>
          <w:rFonts w:ascii="DilleniaUPC" w:eastAsia="Cordia New" w:hAnsi="DilleniaUPC" w:cs="DilleniaUPC" w:hint="cs"/>
          <w:sz w:val="30"/>
          <w:szCs w:val="30"/>
          <w:cs/>
        </w:rPr>
        <w:t>และ</w:t>
      </w:r>
      <w:r w:rsidR="00B67E17" w:rsidRPr="00ED00B1">
        <w:rPr>
          <w:rFonts w:ascii="DilleniaUPC" w:hAnsi="DilleniaUPC" w:cs="DilleniaUPC"/>
          <w:sz w:val="30"/>
          <w:szCs w:val="30"/>
        </w:rPr>
        <w:t>/</w:t>
      </w:r>
      <w:r w:rsidR="00DB7638" w:rsidRPr="00ED00B1">
        <w:rPr>
          <w:rFonts w:ascii="DilleniaUPC" w:hAnsi="DilleniaUPC" w:cs="DilleniaUPC"/>
          <w:sz w:val="30"/>
          <w:szCs w:val="30"/>
          <w:cs/>
        </w:rPr>
        <w:t>หรือเงินค่าขายหลักทรัพย์ที่</w:t>
      </w:r>
      <w:r w:rsidR="00B4771D" w:rsidRPr="00ED00B1">
        <w:rPr>
          <w:rFonts w:ascii="DilleniaUPC" w:hAnsi="DilleniaUPC" w:cs="DilleniaUPC" w:hint="cs"/>
          <w:sz w:val="30"/>
          <w:szCs w:val="30"/>
          <w:cs/>
        </w:rPr>
        <w:t>วางเป็นหลักประกันซึ่ง</w:t>
      </w:r>
      <w:r w:rsidR="00FC573A" w:rsidRPr="00ED00B1">
        <w:rPr>
          <w:rFonts w:ascii="DilleniaUPC" w:hAnsi="DilleniaUPC" w:cs="DilleniaUPC" w:hint="cs"/>
          <w:sz w:val="30"/>
          <w:szCs w:val="30"/>
          <w:cs/>
        </w:rPr>
        <w:t>ยังไม่ครบกำหนดวันชำระราคา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เท่านั้น</w:t>
      </w:r>
    </w:p>
    <w:bookmarkEnd w:id="9"/>
    <w:p w14:paraId="2F676567" w14:textId="1EBA7C2D" w:rsidR="004532FC" w:rsidRPr="00ED00B1" w:rsidRDefault="00461E3D" w:rsidP="005A5F16">
      <w:pPr>
        <w:pStyle w:val="ListParagraph"/>
        <w:widowControl w:val="0"/>
        <w:numPr>
          <w:ilvl w:val="0"/>
          <w:numId w:val="31"/>
        </w:numPr>
        <w:tabs>
          <w:tab w:val="left" w:pos="990"/>
          <w:tab w:val="left" w:pos="1350"/>
          <w:tab w:val="left" w:pos="1701"/>
        </w:tabs>
        <w:spacing w:after="0" w:line="240" w:lineRule="auto"/>
        <w:ind w:left="0" w:firstLine="1701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ลูกค้าที่ใช้บริการซื้อขายหลักทรัพย์ผ่าน</w:t>
      </w:r>
      <w:r w:rsidRPr="00ED00B1">
        <w:rPr>
          <w:rFonts w:ascii="DilleniaUPC" w:hAnsi="DilleniaUPC" w:cs="DilleniaUPC"/>
          <w:sz w:val="30"/>
          <w:szCs w:val="30"/>
          <w:cs/>
        </w:rPr>
        <w:t>บัญชีเงินสด (</w:t>
      </w:r>
      <w:r w:rsidR="00E20A3A">
        <w:rPr>
          <w:rFonts w:ascii="DilleniaUPC" w:hAnsi="DilleniaUPC" w:cs="DilleniaUPC"/>
          <w:sz w:val="30"/>
          <w:szCs w:val="30"/>
        </w:rPr>
        <w:t>C</w:t>
      </w:r>
      <w:r w:rsidRPr="00ED00B1">
        <w:rPr>
          <w:rFonts w:ascii="DilleniaUPC" w:hAnsi="DilleniaUPC" w:cs="DilleniaUPC"/>
          <w:sz w:val="30"/>
          <w:szCs w:val="30"/>
        </w:rPr>
        <w:t xml:space="preserve">ash </w:t>
      </w:r>
      <w:r w:rsidR="00E20A3A">
        <w:rPr>
          <w:rFonts w:ascii="DilleniaUPC" w:hAnsi="DilleniaUPC" w:cs="DilleniaUPC"/>
          <w:sz w:val="30"/>
          <w:szCs w:val="30"/>
        </w:rPr>
        <w:t>A</w:t>
      </w:r>
      <w:r w:rsidRPr="00ED00B1">
        <w:rPr>
          <w:rFonts w:ascii="DilleniaUPC" w:hAnsi="DilleniaUPC" w:cs="DilleniaUPC"/>
          <w:sz w:val="30"/>
          <w:szCs w:val="30"/>
        </w:rPr>
        <w:t>ccount</w:t>
      </w:r>
      <w:r w:rsidRPr="00ED00B1">
        <w:rPr>
          <w:rFonts w:ascii="DilleniaUPC" w:hAnsi="DilleniaUPC" w:cs="DilleniaUPC"/>
          <w:sz w:val="30"/>
          <w:szCs w:val="30"/>
          <w:cs/>
        </w:rPr>
        <w:t>)</w:t>
      </w:r>
      <w:bookmarkStart w:id="10" w:name="_Hlk157337882"/>
      <w:r w:rsidRPr="00ED00B1">
        <w:rPr>
          <w:rFonts w:ascii="DilleniaUPC" w:hAnsi="DilleniaUPC" w:cs="DilleniaUPC"/>
          <w:sz w:val="30"/>
          <w:szCs w:val="30"/>
        </w:rPr>
        <w:t xml:space="preserve"> </w:t>
      </w:r>
      <w:r w:rsidR="004264DC" w:rsidRPr="00ED00B1">
        <w:rPr>
          <w:rFonts w:ascii="DilleniaUPC" w:hAnsi="DilleniaUPC" w:cs="DilleniaUPC" w:hint="cs"/>
          <w:sz w:val="30"/>
          <w:szCs w:val="30"/>
          <w:cs/>
        </w:rPr>
        <w:t>ให้สมาชิก</w:t>
      </w:r>
      <w:r w:rsidRPr="00ED00B1">
        <w:rPr>
          <w:rFonts w:ascii="DilleniaUPC" w:hAnsi="DilleniaUPC" w:cs="DilleniaUPC"/>
          <w:sz w:val="30"/>
          <w:szCs w:val="30"/>
          <w:cs/>
        </w:rPr>
        <w:t>กำหนดอำนาจซื้อ</w:t>
      </w:r>
      <w:r w:rsidR="00732525" w:rsidRPr="00ED00B1">
        <w:rPr>
          <w:rFonts w:ascii="DilleniaUPC" w:hAnsi="DilleniaUPC" w:cs="DilleniaUPC" w:hint="cs"/>
          <w:sz w:val="30"/>
          <w:szCs w:val="30"/>
          <w:cs/>
        </w:rPr>
        <w:t xml:space="preserve"> โดย</w:t>
      </w:r>
      <w:bookmarkEnd w:id="10"/>
      <w:r w:rsidRPr="00ED00B1">
        <w:rPr>
          <w:rFonts w:ascii="DilleniaUPC" w:eastAsia="Cordia New" w:hAnsi="DilleniaUPC" w:cs="DilleniaUPC"/>
          <w:sz w:val="30"/>
          <w:szCs w:val="30"/>
          <w:cs/>
        </w:rPr>
        <w:t>เงินสด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 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หรือหลัก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ทรัพย์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ที่ลูกค้านำมาวางเพื่อการซื้อขายหลักทรัพย์ </w:t>
      </w:r>
      <w:r w:rsidR="00696AA7" w:rsidRPr="00ED00B1">
        <w:rPr>
          <w:rFonts w:ascii="DilleniaUPC" w:eastAsia="Cordia New" w:hAnsi="DilleniaUPC" w:cs="DilleniaUPC" w:hint="cs"/>
          <w:sz w:val="30"/>
          <w:szCs w:val="30"/>
          <w:cs/>
        </w:rPr>
        <w:t>ต้องมีมูลค่า</w:t>
      </w:r>
      <w:r w:rsidR="0029449E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ภายหลังการหักค่าความเสี่ยงของหลักประกัน </w:t>
      </w:r>
      <w:r w:rsidR="0029449E" w:rsidRPr="00ED00B1">
        <w:rPr>
          <w:rFonts w:ascii="DilleniaUPC" w:eastAsia="Cordia New" w:hAnsi="DilleniaUPC" w:cs="DilleniaUPC"/>
          <w:sz w:val="30"/>
          <w:szCs w:val="30"/>
        </w:rPr>
        <w:t>(</w:t>
      </w:r>
      <w:r w:rsidR="00E20A3A">
        <w:rPr>
          <w:rFonts w:ascii="DilleniaUPC" w:eastAsia="Cordia New" w:hAnsi="DilleniaUPC" w:cs="DilleniaUPC"/>
          <w:sz w:val="30"/>
          <w:szCs w:val="30"/>
        </w:rPr>
        <w:t>H</w:t>
      </w:r>
      <w:r w:rsidR="0029449E" w:rsidRPr="00ED00B1">
        <w:rPr>
          <w:rFonts w:ascii="DilleniaUPC" w:eastAsia="Cordia New" w:hAnsi="DilleniaUPC" w:cs="DilleniaUPC"/>
          <w:sz w:val="30"/>
          <w:szCs w:val="30"/>
        </w:rPr>
        <w:t xml:space="preserve">aircut) </w:t>
      </w:r>
      <w:r w:rsidR="0029449E" w:rsidRPr="00ED00B1">
        <w:rPr>
          <w:rFonts w:ascii="DilleniaUPC" w:eastAsia="Cordia New" w:hAnsi="DilleniaUPC" w:cs="DilleniaUPC" w:hint="cs"/>
          <w:sz w:val="30"/>
          <w:szCs w:val="30"/>
          <w:cs/>
        </w:rPr>
        <w:t>รวมกัน</w:t>
      </w:r>
      <w:r w:rsidR="00D71BF8" w:rsidRPr="00ED00B1">
        <w:rPr>
          <w:rFonts w:ascii="DilleniaUPC" w:eastAsia="Cordia New" w:hAnsi="DilleniaUPC" w:cs="DilleniaUPC" w:hint="cs"/>
          <w:sz w:val="30"/>
          <w:szCs w:val="30"/>
          <w:cs/>
        </w:rPr>
        <w:t>เพียงพอที่</w:t>
      </w:r>
      <w:r w:rsidR="00CF254B" w:rsidRPr="00ED00B1">
        <w:rPr>
          <w:rFonts w:ascii="DilleniaUPC" w:eastAsia="Cordia New" w:hAnsi="DilleniaUPC" w:cs="DilleniaUPC" w:hint="cs"/>
          <w:sz w:val="30"/>
          <w:szCs w:val="30"/>
          <w:cs/>
        </w:rPr>
        <w:t>จะรองรับความเสี่ยงในการชำระราคาและส่งมอบหลักทรัพย์ของลูกค้า</w:t>
      </w:r>
      <w:r w:rsidR="00C466F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6640C8" w:rsidRPr="00ED00B1">
        <w:rPr>
          <w:rFonts w:ascii="DilleniaUPC" w:eastAsia="Cordia New" w:hAnsi="DilleniaUPC" w:cs="DilleniaUPC"/>
          <w:sz w:val="30"/>
          <w:szCs w:val="30"/>
        </w:rPr>
        <w:br/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 xml:space="preserve">โดยคำนึงถึงปัจจัยตามข้อ </w:t>
      </w:r>
      <w:r w:rsidR="00113A8F" w:rsidRPr="00ED00B1">
        <w:rPr>
          <w:rFonts w:ascii="DilleniaUPC" w:eastAsia="Cordia New" w:hAnsi="DilleniaUPC" w:cs="DilleniaUPC"/>
          <w:spacing w:val="-4"/>
          <w:sz w:val="30"/>
          <w:szCs w:val="30"/>
        </w:rPr>
        <w:t>5</w:t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</w:rPr>
        <w:t xml:space="preserve">.1 </w:t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รวมทั้ง</w:t>
      </w:r>
      <w:r w:rsidR="0004020F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สภาพการซื้อขายของหลักทรัพย์</w:t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ที่เป็นประกัน</w:t>
      </w:r>
      <w:r w:rsidR="00874D7A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 xml:space="preserve"> </w:t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และที่ลูกค</w:t>
      </w:r>
      <w:r w:rsidR="003771DC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้</w:t>
      </w:r>
      <w:r w:rsidR="00B659EB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าซื้อขาย</w:t>
      </w:r>
      <w:r w:rsidR="00184AC2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 xml:space="preserve"> </w:t>
      </w:r>
      <w:r w:rsidR="00714D8A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ทั้งนี้ ต้อง</w:t>
      </w:r>
      <w:r w:rsidR="00696AA7" w:rsidRPr="00ED00B1">
        <w:rPr>
          <w:rFonts w:ascii="DilleniaUPC" w:eastAsia="Cordia New" w:hAnsi="DilleniaUPC" w:cs="DilleniaUPC"/>
          <w:spacing w:val="-4"/>
          <w:sz w:val="30"/>
          <w:szCs w:val="30"/>
          <w:cs/>
        </w:rPr>
        <w:t>ไม่น้อยกว่า</w:t>
      </w:r>
      <w:r w:rsidR="008A559C" w:rsidRPr="00ED00B1">
        <w:rPr>
          <w:rFonts w:ascii="DilleniaUPC" w:eastAsia="Cordia New" w:hAnsi="DilleniaUPC" w:cs="DilleniaUPC" w:hint="cs"/>
          <w:sz w:val="30"/>
          <w:szCs w:val="30"/>
          <w:cs/>
        </w:rPr>
        <w:t>อัตรา</w:t>
      </w:r>
      <w:r w:rsidR="00D04224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ร้อยละ </w:t>
      </w:r>
      <w:r w:rsidR="00D04224" w:rsidRPr="00ED00B1">
        <w:rPr>
          <w:rFonts w:ascii="DilleniaUPC" w:eastAsia="Cordia New" w:hAnsi="DilleniaUPC" w:cs="DilleniaUPC"/>
          <w:sz w:val="30"/>
          <w:szCs w:val="30"/>
        </w:rPr>
        <w:t xml:space="preserve">20 </w:t>
      </w:r>
      <w:r w:rsidR="00714D8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ของอำนาจซื้อ </w:t>
      </w:r>
      <w:r w:rsidR="007D20D2" w:rsidRPr="00ED00B1">
        <w:rPr>
          <w:rFonts w:ascii="DilleniaUPC" w:eastAsia="Cordia New" w:hAnsi="DilleniaUPC" w:cs="DilleniaUPC" w:hint="cs"/>
          <w:sz w:val="30"/>
          <w:szCs w:val="30"/>
          <w:cs/>
        </w:rPr>
        <w:t>หรืออัตรา</w:t>
      </w:r>
      <w:r w:rsidR="008A559C" w:rsidRPr="00ED00B1">
        <w:rPr>
          <w:rFonts w:ascii="DilleniaUPC" w:eastAsia="Cordia New" w:hAnsi="DilleniaUPC" w:cs="DilleniaUPC" w:hint="cs"/>
          <w:sz w:val="30"/>
          <w:szCs w:val="30"/>
          <w:cs/>
        </w:rPr>
        <w:t>ที่ตลาดหลักทรัพย์กำหนด</w:t>
      </w:r>
    </w:p>
    <w:p w14:paraId="09F6D816" w14:textId="6898083D" w:rsidR="00E0196C" w:rsidRPr="00ED00B1" w:rsidRDefault="00792759" w:rsidP="005A5F16">
      <w:pPr>
        <w:pStyle w:val="ListParagraph"/>
        <w:widowControl w:val="0"/>
        <w:numPr>
          <w:ilvl w:val="0"/>
          <w:numId w:val="31"/>
        </w:numPr>
        <w:tabs>
          <w:tab w:val="left" w:pos="990"/>
          <w:tab w:val="left" w:pos="1350"/>
          <w:tab w:val="left" w:pos="1701"/>
        </w:tabs>
        <w:spacing w:after="0" w:line="240" w:lineRule="auto"/>
        <w:ind w:left="0" w:firstLine="1701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ลูกค้าที่ใช้บริการซื้อขายหลักทรัพย์ผ่านบัญชีมาร์จิ้น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 (</w:t>
      </w:r>
      <w:r w:rsidR="00E20A3A">
        <w:rPr>
          <w:rFonts w:ascii="DilleniaUPC" w:eastAsia="Cordia New" w:hAnsi="DilleniaUPC" w:cs="DilleniaUPC"/>
          <w:sz w:val="30"/>
          <w:szCs w:val="30"/>
        </w:rPr>
        <w:t>C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redit </w:t>
      </w:r>
      <w:r w:rsidR="00E20A3A">
        <w:rPr>
          <w:rFonts w:ascii="DilleniaUPC" w:eastAsia="Cordia New" w:hAnsi="DilleniaUPC" w:cs="DilleniaUPC"/>
          <w:sz w:val="30"/>
          <w:szCs w:val="30"/>
        </w:rPr>
        <w:t>B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alance)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ให้สมาชิกกำหนดอำนาจซื้อ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โดย</w:t>
      </w:r>
      <w:r w:rsidR="00D71BF8" w:rsidRPr="00ED00B1">
        <w:rPr>
          <w:rFonts w:ascii="DilleniaUPC" w:eastAsia="Cordia New" w:hAnsi="DilleniaUPC" w:cs="DilleniaUPC" w:hint="cs"/>
          <w:sz w:val="30"/>
          <w:szCs w:val="30"/>
          <w:cs/>
        </w:rPr>
        <w:t>เงินสด</w:t>
      </w:r>
      <w:r w:rsidR="008D634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D71BF8" w:rsidRPr="00ED00B1">
        <w:rPr>
          <w:rFonts w:ascii="DilleniaUPC" w:eastAsia="Cordia New" w:hAnsi="DilleniaUPC" w:cs="DilleniaUPC" w:hint="cs"/>
          <w:sz w:val="30"/>
          <w:szCs w:val="30"/>
          <w:cs/>
        </w:rPr>
        <w:t>หรือหลักทรัพย์ที่ลูกค้านำมาวางเพื่อการซื้อขายหลักทรัพย์</w:t>
      </w:r>
      <w:r w:rsidR="00D71BF8" w:rsidRPr="00ED00B1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="00D71BF8" w:rsidRPr="00ED00B1">
        <w:rPr>
          <w:rFonts w:ascii="DilleniaUPC" w:eastAsia="Cordia New" w:hAnsi="DilleniaUPC" w:cs="DilleniaUPC" w:hint="cs"/>
          <w:sz w:val="30"/>
          <w:szCs w:val="30"/>
          <w:cs/>
        </w:rPr>
        <w:t>ต้องมีมูลค่า</w:t>
      </w:r>
      <w:r w:rsidR="008D634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เป็นไปตามอัตราเงินประกันขั้นต้นที่สมาชิกกำหนด </w:t>
      </w:r>
      <w:r w:rsidR="00057E58" w:rsidRPr="00ED00B1">
        <w:rPr>
          <w:rFonts w:ascii="DilleniaUPC" w:eastAsia="Cordia New" w:hAnsi="DilleniaUPC" w:cs="DilleniaUPC"/>
          <w:sz w:val="30"/>
          <w:szCs w:val="30"/>
          <w:cs/>
        </w:rPr>
        <w:t>โดยคำนึงถึงความเสี่ยงของหลักทรัพย์นั้น</w:t>
      </w:r>
      <w:r w:rsidR="00057E58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0C098D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ทั้งนี้ </w:t>
      </w:r>
      <w:r w:rsidR="00194BE3" w:rsidRPr="00ED00B1">
        <w:rPr>
          <w:rFonts w:ascii="DilleniaUPC" w:eastAsia="Cordia New" w:hAnsi="DilleniaUPC" w:cs="DilleniaUPC" w:hint="cs"/>
          <w:sz w:val="30"/>
          <w:szCs w:val="30"/>
          <w:cs/>
        </w:rPr>
        <w:t>ต้อง</w:t>
      </w:r>
      <w:r w:rsidR="00D71BF8" w:rsidRPr="00ED00B1">
        <w:rPr>
          <w:rFonts w:ascii="DilleniaUPC" w:eastAsia="Cordia New" w:hAnsi="DilleniaUPC" w:cs="DilleniaUPC" w:hint="cs"/>
          <w:sz w:val="30"/>
          <w:szCs w:val="30"/>
          <w:cs/>
        </w:rPr>
        <w:t>ไม่น้อยกว่าอัตราร้อยละ</w:t>
      </w:r>
      <w:r w:rsidR="00D71BF8" w:rsidRPr="00ED00B1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="002F62B5" w:rsidRPr="00ED00B1">
        <w:rPr>
          <w:rFonts w:ascii="DilleniaUPC" w:eastAsia="Cordia New" w:hAnsi="DilleniaUPC" w:cs="DilleniaUPC"/>
          <w:sz w:val="30"/>
          <w:szCs w:val="30"/>
        </w:rPr>
        <w:t xml:space="preserve">50 </w:t>
      </w:r>
      <w:r w:rsidR="002F62B5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ของอำนาจซื้อ </w:t>
      </w:r>
      <w:r w:rsidR="003A12AE" w:rsidRPr="00ED00B1">
        <w:rPr>
          <w:rFonts w:ascii="DilleniaUPC" w:eastAsia="Cordia New" w:hAnsi="DilleniaUPC" w:cs="DilleniaUPC"/>
          <w:sz w:val="30"/>
          <w:szCs w:val="30"/>
        </w:rPr>
        <w:br/>
      </w:r>
      <w:r w:rsidR="002F62B5" w:rsidRPr="00ED00B1">
        <w:rPr>
          <w:rFonts w:ascii="DilleniaUPC" w:eastAsia="Cordia New" w:hAnsi="DilleniaUPC" w:cs="DilleniaUPC" w:hint="cs"/>
          <w:sz w:val="30"/>
          <w:szCs w:val="30"/>
          <w:cs/>
        </w:rPr>
        <w:t>หรืออัตราที่</w:t>
      </w:r>
      <w:r w:rsidR="00DC6F1F" w:rsidRPr="00ED00B1">
        <w:rPr>
          <w:rFonts w:ascii="DilleniaUPC" w:eastAsia="Cordia New" w:hAnsi="DilleniaUPC" w:cs="DilleniaUPC" w:hint="cs"/>
          <w:sz w:val="30"/>
          <w:szCs w:val="30"/>
          <w:cs/>
        </w:rPr>
        <w:t>สำนักงาน ก.ล.ต. กำหนด</w:t>
      </w:r>
      <w:r w:rsidR="00207155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</w:p>
    <w:p w14:paraId="4041917E" w14:textId="6C31739C" w:rsidR="00AC7428" w:rsidRPr="00ED00B1" w:rsidRDefault="00AC7428" w:rsidP="000952FA">
      <w:pPr>
        <w:pStyle w:val="ListParagraph"/>
        <w:widowControl w:val="0"/>
        <w:tabs>
          <w:tab w:val="left" w:pos="990"/>
          <w:tab w:val="left" w:pos="1350"/>
        </w:tabs>
        <w:ind w:left="0" w:firstLine="1276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/>
          <w:sz w:val="30"/>
          <w:szCs w:val="30"/>
        </w:rPr>
        <w:t>5</w:t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>.</w:t>
      </w:r>
      <w:r w:rsidRPr="00ED00B1">
        <w:rPr>
          <w:rFonts w:ascii="DilleniaUPC" w:eastAsia="Cordia New" w:hAnsi="DilleniaUPC" w:cs="DilleniaUPC"/>
          <w:sz w:val="30"/>
          <w:szCs w:val="30"/>
        </w:rPr>
        <w:t>5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/>
          <w:sz w:val="30"/>
          <w:szCs w:val="30"/>
        </w:rPr>
        <w:t xml:space="preserve"> 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ให้สมาชิกจัดให้มีสัญญาหรือข้อตกลงให้บริการกับลูกค้าที่สอดคล้องกับการปฏิบัติตามแนวทาง</w:t>
      </w:r>
      <w:r w:rsidR="000519E4" w:rsidRPr="00ED00B1">
        <w:rPr>
          <w:rFonts w:ascii="DilleniaUPC" w:eastAsia="Cordia New" w:hAnsi="DilleniaUPC" w:cs="DilleniaUPC"/>
          <w:sz w:val="30"/>
          <w:szCs w:val="30"/>
          <w:cs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การปฏิบัติงานนี้</w:t>
      </w:r>
    </w:p>
    <w:p w14:paraId="257E30AE" w14:textId="0FED384A" w:rsidR="00B03EFD" w:rsidRPr="00ED00B1" w:rsidRDefault="00B03EFD" w:rsidP="005A5F16">
      <w:pPr>
        <w:widowControl w:val="0"/>
        <w:tabs>
          <w:tab w:val="left" w:pos="709"/>
          <w:tab w:val="left" w:pos="1276"/>
        </w:tabs>
        <w:spacing w:before="120"/>
        <w:ind w:left="709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3241AB"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241DC5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การวิเคราะห์ลูกค้า</w:t>
      </w:r>
      <w:r w:rsidR="00515D4B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14:paraId="31317C31" w14:textId="1A952FD9" w:rsidR="004B41E7" w:rsidRPr="00ED00B1" w:rsidRDefault="004B41E7" w:rsidP="005A5F16">
      <w:pPr>
        <w:widowControl w:val="0"/>
        <w:tabs>
          <w:tab w:val="left" w:pos="709"/>
          <w:tab w:val="left" w:pos="1276"/>
          <w:tab w:val="left" w:pos="1701"/>
        </w:tabs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bookmarkStart w:id="11" w:name="_Hlk157334523"/>
      <w:bookmarkStart w:id="12" w:name="_Hlk157333518"/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4532FC"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="002D07E0" w:rsidRPr="00ED00B1">
        <w:rPr>
          <w:rFonts w:ascii="DilleniaUPC" w:eastAsia="Calibri" w:hAnsi="DilleniaUPC" w:cs="DilleniaUPC"/>
          <w:sz w:val="30"/>
          <w:szCs w:val="30"/>
          <w:lang w:eastAsia="en-US"/>
        </w:rPr>
        <w:t>.1</w:t>
      </w:r>
      <w:r w:rsidR="002D07E0"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DB451C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ปัจจัยที่ใช้ในการพิจารณา </w:t>
      </w:r>
    </w:p>
    <w:bookmarkEnd w:id="11"/>
    <w:p w14:paraId="177FB885" w14:textId="177CC7C6" w:rsidR="008C13AD" w:rsidRPr="00ED00B1" w:rsidRDefault="00E24002" w:rsidP="005A5F16">
      <w:pPr>
        <w:widowControl w:val="0"/>
        <w:tabs>
          <w:tab w:val="left" w:pos="990"/>
          <w:tab w:val="left" w:pos="1350"/>
          <w:tab w:val="left" w:pos="1701"/>
        </w:tabs>
        <w:ind w:firstLine="126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="000E2077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ให้สมาชิกวิเคราะห์</w:t>
      </w:r>
      <w:r w:rsidR="002D5705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ลูกค้า และ</w:t>
      </w:r>
      <w:r w:rsidR="000E2077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ความสามารถในการชำระหนี้ของลูกค้าด้วยความรอบคอบรัดกุม</w:t>
      </w:r>
      <w:r w:rsidR="000E2077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9E3407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อย่างน้อย ดังนี้  </w:t>
      </w:r>
    </w:p>
    <w:bookmarkEnd w:id="12"/>
    <w:p w14:paraId="2BF0CD82" w14:textId="323EFABA" w:rsidR="004532FC" w:rsidRPr="00ED00B1" w:rsidRDefault="00722EE0" w:rsidP="005A5F16">
      <w:pPr>
        <w:pStyle w:val="ListParagraph"/>
        <w:widowControl w:val="0"/>
        <w:numPr>
          <w:ilvl w:val="0"/>
          <w:numId w:val="33"/>
        </w:numPr>
        <w:tabs>
          <w:tab w:val="left" w:pos="2127"/>
        </w:tabs>
        <w:spacing w:after="0" w:line="240" w:lineRule="auto"/>
        <w:ind w:left="0" w:firstLine="1701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>ตัวตนที่แท้จริงของลูกค้า</w:t>
      </w:r>
      <w:r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0696C" w:rsidRPr="00ED00B1">
        <w:rPr>
          <w:rFonts w:ascii="DilleniaUPC" w:hAnsi="DilleniaUPC" w:cs="DilleniaUPC" w:hint="cs"/>
          <w:sz w:val="30"/>
          <w:szCs w:val="30"/>
          <w:cs/>
        </w:rPr>
        <w:t>สมาชิกต้อง</w:t>
      </w:r>
      <w:r w:rsidR="00E62720" w:rsidRPr="00ED00B1">
        <w:rPr>
          <w:rFonts w:ascii="DilleniaUPC" w:hAnsi="DilleniaUPC" w:cs="DilleniaUPC"/>
          <w:sz w:val="30"/>
          <w:szCs w:val="30"/>
          <w:cs/>
        </w:rPr>
        <w:t>ทำความ</w:t>
      </w:r>
      <w:r w:rsidR="00E62720" w:rsidRPr="00ED00B1">
        <w:rPr>
          <w:rFonts w:ascii="DilleniaUPC" w:eastAsia="Cordia New" w:hAnsi="DilleniaUPC" w:cs="DilleniaUPC"/>
          <w:sz w:val="30"/>
          <w:szCs w:val="30"/>
          <w:cs/>
        </w:rPr>
        <w:t>รู้จักลูกค้าและตรวจสอบข้อเท็จจริงเกี่ยวกับลูกค้า (</w:t>
      </w:r>
      <w:r w:rsidR="00E62720" w:rsidRPr="00ED00B1">
        <w:rPr>
          <w:rFonts w:ascii="DilleniaUPC" w:eastAsia="Cordia New" w:hAnsi="DilleniaUPC" w:cs="DilleniaUPC"/>
          <w:sz w:val="30"/>
          <w:szCs w:val="30"/>
        </w:rPr>
        <w:t>KYC</w:t>
      </w:r>
      <w:r w:rsidR="00E62720" w:rsidRPr="00ED00B1">
        <w:rPr>
          <w:rFonts w:ascii="DilleniaUPC" w:eastAsia="Cordia New" w:hAnsi="DilleniaUPC" w:cs="DilleniaUPC"/>
          <w:sz w:val="30"/>
          <w:szCs w:val="30"/>
          <w:cs/>
        </w:rPr>
        <w:t>/</w:t>
      </w:r>
      <w:r w:rsidR="00E62720" w:rsidRPr="00ED00B1">
        <w:rPr>
          <w:rFonts w:ascii="DilleniaUPC" w:eastAsia="Cordia New" w:hAnsi="DilleniaUPC" w:cs="DilleniaUPC"/>
          <w:sz w:val="30"/>
          <w:szCs w:val="30"/>
        </w:rPr>
        <w:t>CDD</w:t>
      </w:r>
      <w:r w:rsidR="00E62720" w:rsidRPr="00ED00B1">
        <w:rPr>
          <w:rFonts w:ascii="DilleniaUPC" w:eastAsia="Cordia New" w:hAnsi="DilleniaUPC" w:cs="DilleniaUPC"/>
          <w:sz w:val="30"/>
          <w:szCs w:val="30"/>
          <w:cs/>
        </w:rPr>
        <w:t xml:space="preserve">) </w:t>
      </w:r>
      <w:r w:rsidR="00F65AC3" w:rsidRPr="00ED00B1">
        <w:rPr>
          <w:rFonts w:ascii="DilleniaUPC" w:eastAsia="Cordia New" w:hAnsi="DilleniaUPC" w:cs="DilleniaUPC" w:hint="cs"/>
          <w:sz w:val="30"/>
          <w:szCs w:val="30"/>
          <w:cs/>
        </w:rPr>
        <w:t>เพื่อให้ทราบ</w:t>
      </w:r>
      <w:r w:rsidR="0056767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ข้อมูลของลูกค้าเกี่ยวกับ </w:t>
      </w:r>
      <w:r w:rsidR="00943E62" w:rsidRPr="00ED00B1">
        <w:rPr>
          <w:rFonts w:ascii="DilleniaUPC" w:hAnsi="DilleniaUPC" w:cs="DilleniaUPC"/>
          <w:sz w:val="30"/>
          <w:szCs w:val="30"/>
          <w:cs/>
        </w:rPr>
        <w:t>ตัวตน</w:t>
      </w:r>
      <w:r w:rsidR="00F65AC3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43E62" w:rsidRPr="00ED00B1">
        <w:rPr>
          <w:rFonts w:ascii="DilleniaUPC" w:hAnsi="DilleniaUPC" w:cs="DilleniaUPC"/>
          <w:sz w:val="30"/>
          <w:szCs w:val="30"/>
          <w:cs/>
        </w:rPr>
        <w:t>และผู้รับประโยชน์ที่แท้จริง</w:t>
      </w:r>
      <w:r w:rsidR="00B07655" w:rsidRPr="00ED00B1">
        <w:rPr>
          <w:rFonts w:ascii="DilleniaUPC" w:hAnsi="DilleniaUPC" w:cs="DilleniaUPC" w:hint="cs"/>
          <w:sz w:val="30"/>
          <w:szCs w:val="30"/>
          <w:cs/>
        </w:rPr>
        <w:t xml:space="preserve"> วัตถุประสงค์ของการลงทุน </w:t>
      </w:r>
      <w:r w:rsidR="00B07655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ประสบการณ์ซื้อขาย </w:t>
      </w:r>
      <w:r w:rsidR="00E43F9A" w:rsidRPr="00ED00B1">
        <w:rPr>
          <w:rFonts w:ascii="DilleniaUPC" w:hAnsi="DilleniaUPC" w:cs="DilleniaUPC" w:hint="cs"/>
          <w:sz w:val="30"/>
          <w:szCs w:val="30"/>
          <w:cs/>
        </w:rPr>
        <w:t>กรณีที่ไม่สามารถตรวจสอบเพื่อทราบข้อเท็จจริงเกี่ยวกับลูกค้าได้</w:t>
      </w:r>
      <w:r w:rsidR="00A94244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E43F9A" w:rsidRPr="00ED00B1">
        <w:rPr>
          <w:rFonts w:ascii="DilleniaUPC" w:hAnsi="DilleniaUPC" w:cs="DilleniaUPC" w:hint="cs"/>
          <w:sz w:val="30"/>
          <w:szCs w:val="30"/>
          <w:cs/>
        </w:rPr>
        <w:t>ให้ปฏิเสธการสร้างความสัมพันธ์</w:t>
      </w:r>
      <w:r w:rsidR="003A12AE" w:rsidRPr="00ED00B1">
        <w:rPr>
          <w:rFonts w:ascii="DilleniaUPC" w:hAnsi="DilleniaUPC" w:cs="DilleniaUPC"/>
          <w:sz w:val="30"/>
          <w:szCs w:val="30"/>
        </w:rPr>
        <w:br/>
      </w:r>
      <w:r w:rsidR="00E43F9A" w:rsidRPr="00ED00B1">
        <w:rPr>
          <w:rFonts w:ascii="DilleniaUPC" w:hAnsi="DilleniaUPC" w:cs="DilleniaUPC" w:hint="cs"/>
          <w:sz w:val="30"/>
          <w:szCs w:val="30"/>
          <w:cs/>
        </w:rPr>
        <w:t>ทางธุรกิจ</w:t>
      </w:r>
      <w:r w:rsidR="00E43F9A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E43F9A" w:rsidRPr="00ED00B1">
        <w:rPr>
          <w:rFonts w:ascii="DilleniaUPC" w:hAnsi="DilleniaUPC" w:cs="DilleniaUPC" w:hint="cs"/>
          <w:sz w:val="30"/>
          <w:szCs w:val="30"/>
          <w:cs/>
        </w:rPr>
        <w:t>ไม่ทำธุรกรรม</w:t>
      </w:r>
      <w:r w:rsidR="00E43F9A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E43F9A" w:rsidRPr="00ED00B1">
        <w:rPr>
          <w:rFonts w:ascii="DilleniaUPC" w:hAnsi="DilleniaUPC" w:cs="DilleniaUPC" w:hint="cs"/>
          <w:sz w:val="30"/>
          <w:szCs w:val="30"/>
          <w:cs/>
        </w:rPr>
        <w:t>ยุติความสัมพันธ์ทางธุรกิจ</w:t>
      </w:r>
      <w:r w:rsidR="00E43F9A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D1409D" w:rsidRPr="00ED00B1">
        <w:rPr>
          <w:rFonts w:ascii="DilleniaUPC" w:eastAsia="Cordia New" w:hAnsi="DilleniaUPC" w:cs="DilleniaUPC" w:hint="cs"/>
          <w:sz w:val="30"/>
          <w:szCs w:val="30"/>
          <w:cs/>
        </w:rPr>
        <w:t>หรือไม่ทำธุรกรรมเป็นครั้งคราว กับลูกค้าดังกล่าว</w:t>
      </w:r>
    </w:p>
    <w:p w14:paraId="67C39197" w14:textId="2BEB04BC" w:rsidR="004532FC" w:rsidRPr="00ED00B1" w:rsidRDefault="00B07655" w:rsidP="005A5F16">
      <w:pPr>
        <w:pStyle w:val="ListParagraph"/>
        <w:widowControl w:val="0"/>
        <w:numPr>
          <w:ilvl w:val="0"/>
          <w:numId w:val="33"/>
        </w:numPr>
        <w:tabs>
          <w:tab w:val="left" w:pos="2127"/>
        </w:tabs>
        <w:spacing w:after="0" w:line="240" w:lineRule="auto"/>
        <w:ind w:left="0" w:firstLine="1701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>ความสามารถในการชำระหนี้</w:t>
      </w:r>
      <w:r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B4F1B" w:rsidRPr="00ED00B1">
        <w:rPr>
          <w:rFonts w:ascii="DilleniaUPC" w:hAnsi="DilleniaUPC" w:cs="DilleniaUPC" w:hint="cs"/>
          <w:sz w:val="30"/>
          <w:szCs w:val="30"/>
          <w:cs/>
        </w:rPr>
        <w:t>โดยตรวจสอบความมั่นคง</w:t>
      </w:r>
      <w:r w:rsidR="000B4F1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0B4F1B" w:rsidRPr="00ED00B1">
        <w:rPr>
          <w:rFonts w:ascii="DilleniaUPC" w:hAnsi="DilleniaUPC" w:cs="DilleniaUPC" w:hint="cs"/>
          <w:sz w:val="30"/>
          <w:szCs w:val="30"/>
          <w:cs/>
        </w:rPr>
        <w:t>สมํ่าเสมอ</w:t>
      </w:r>
      <w:r w:rsidR="000B4F1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0B4F1B" w:rsidRPr="00ED00B1">
        <w:rPr>
          <w:rFonts w:ascii="DilleniaUPC" w:hAnsi="DilleniaUPC" w:cs="DilleniaUPC" w:hint="cs"/>
          <w:sz w:val="30"/>
          <w:szCs w:val="30"/>
          <w:cs/>
        </w:rPr>
        <w:t>และความสมเหตุสมผลของฐานะการเงิน</w:t>
      </w:r>
      <w:r w:rsidR="000B4F1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0B4F1B" w:rsidRPr="00ED00B1">
        <w:rPr>
          <w:rFonts w:ascii="DilleniaUPC" w:hAnsi="DilleniaUPC" w:cs="DilleniaUPC" w:hint="cs"/>
          <w:sz w:val="30"/>
          <w:szCs w:val="30"/>
          <w:cs/>
        </w:rPr>
        <w:t>แหล่งที่มาของรายได้จากอาชีพหรือธุรกิจหลัก</w:t>
      </w:r>
      <w:r w:rsidR="000B4F1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0B4F1B" w:rsidRPr="00ED00B1">
        <w:rPr>
          <w:rFonts w:ascii="DilleniaUPC" w:hAnsi="DilleniaUPC" w:cs="DilleniaUPC" w:hint="cs"/>
          <w:sz w:val="30"/>
          <w:szCs w:val="30"/>
          <w:cs/>
        </w:rPr>
        <w:t>และทรัพย์สินที่ลูกค้านำมาแสดงต่อสมาชิก</w:t>
      </w:r>
      <w:r w:rsidR="000B4F1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และการมีวงเงินกับสมาชิกรายอื่น (ถ้ามี)</w:t>
      </w:r>
    </w:p>
    <w:p w14:paraId="411D4293" w14:textId="6CAEEFF5" w:rsidR="00ED200C" w:rsidRPr="00ED00B1" w:rsidRDefault="00D241E7" w:rsidP="005A5F16">
      <w:pPr>
        <w:pStyle w:val="ListParagraph"/>
        <w:widowControl w:val="0"/>
        <w:numPr>
          <w:ilvl w:val="0"/>
          <w:numId w:val="33"/>
        </w:numPr>
        <w:tabs>
          <w:tab w:val="left" w:pos="2127"/>
        </w:tabs>
        <w:spacing w:after="0" w:line="240" w:lineRule="auto"/>
        <w:ind w:left="0" w:firstLine="1701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>พฤติกรรม</w:t>
      </w:r>
      <w:r w:rsidR="00EF3366" w:rsidRPr="00ED00B1">
        <w:rPr>
          <w:rFonts w:ascii="DilleniaUPC" w:hAnsi="DilleniaUPC" w:cs="DilleniaUPC"/>
          <w:sz w:val="30"/>
          <w:szCs w:val="30"/>
          <w:cs/>
        </w:rPr>
        <w:t>ของลูกค้าหรือผู้เกี่ยวข้อง</w:t>
      </w:r>
      <w:r w:rsidRPr="00ED00B1">
        <w:rPr>
          <w:rFonts w:ascii="DilleniaUPC" w:hAnsi="DilleniaUPC" w:cs="DilleniaUPC"/>
          <w:sz w:val="30"/>
          <w:szCs w:val="30"/>
          <w:cs/>
        </w:rPr>
        <w:t>ที่สมาชิกพึงทราบ</w:t>
      </w:r>
      <w:r w:rsidR="00A42EE4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63D06" w:rsidRPr="00ED00B1">
        <w:rPr>
          <w:rFonts w:ascii="DilleniaUPC" w:hAnsi="DilleniaUPC" w:cs="DilleniaUPC"/>
          <w:sz w:val="30"/>
          <w:szCs w:val="30"/>
          <w:cs/>
        </w:rPr>
        <w:t>ว่า</w:t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>มีพฤติกรรมซื้อขายหลักทรัพย์</w:t>
      </w:r>
      <w:r w:rsidR="00A52B7E" w:rsidRPr="00ED00B1">
        <w:rPr>
          <w:rFonts w:ascii="DilleniaUPC" w:hAnsi="DilleniaUPC" w:cs="DilleniaUPC"/>
          <w:sz w:val="30"/>
          <w:szCs w:val="30"/>
          <w:cs/>
        </w:rPr>
        <w:br/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 xml:space="preserve">ไม่เหมาะสม </w:t>
      </w:r>
      <w:r w:rsidR="004E4EAC" w:rsidRPr="00ED00B1">
        <w:rPr>
          <w:rFonts w:ascii="DilleniaUPC" w:hAnsi="DilleniaUPC" w:cs="DilleniaUPC" w:hint="cs"/>
          <w:sz w:val="30"/>
          <w:szCs w:val="30"/>
          <w:cs/>
        </w:rPr>
        <w:t>ซึ่ง</w:t>
      </w:r>
      <w:r w:rsidR="00996391" w:rsidRPr="00ED00B1">
        <w:rPr>
          <w:rFonts w:ascii="DilleniaUPC" w:hAnsi="DilleniaUPC" w:cs="DilleniaUPC" w:hint="cs"/>
          <w:sz w:val="30"/>
          <w:szCs w:val="30"/>
          <w:cs/>
        </w:rPr>
        <w:t>อาจ</w:t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>ทำให้</w:t>
      </w:r>
      <w:r w:rsidR="00E9530C" w:rsidRPr="00ED00B1">
        <w:rPr>
          <w:rFonts w:ascii="DilleniaUPC" w:hAnsi="DilleniaUPC" w:cs="DilleniaUPC" w:hint="cs"/>
          <w:sz w:val="30"/>
          <w:szCs w:val="30"/>
          <w:cs/>
        </w:rPr>
        <w:t>เกิดสภาพ</w:t>
      </w:r>
      <w:r w:rsidR="004E4EAC" w:rsidRPr="00ED00B1">
        <w:rPr>
          <w:rFonts w:ascii="DilleniaUPC" w:hAnsi="DilleniaUPC" w:cs="DilleniaUPC" w:hint="cs"/>
          <w:sz w:val="30"/>
          <w:szCs w:val="30"/>
          <w:cs/>
        </w:rPr>
        <w:t>การซื้อขาย</w:t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>ไม่ตรง</w:t>
      </w:r>
      <w:r w:rsidR="00E9530C" w:rsidRPr="00ED00B1">
        <w:rPr>
          <w:rFonts w:ascii="DilleniaUPC" w:hAnsi="DilleniaUPC" w:cs="DilleniaUPC" w:hint="cs"/>
          <w:sz w:val="30"/>
          <w:szCs w:val="30"/>
          <w:cs/>
        </w:rPr>
        <w:t>กับ</w:t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>สภาพปกติ</w:t>
      </w:r>
      <w:r w:rsidR="004E4EAC" w:rsidRPr="00ED00B1">
        <w:rPr>
          <w:rFonts w:ascii="DilleniaUPC" w:hAnsi="DilleniaUPC" w:cs="DilleniaUPC" w:hint="cs"/>
          <w:sz w:val="30"/>
          <w:szCs w:val="30"/>
          <w:cs/>
        </w:rPr>
        <w:t>ของตลาด</w:t>
      </w:r>
      <w:r w:rsidR="006E3E7D" w:rsidRPr="00ED00B1">
        <w:rPr>
          <w:rFonts w:ascii="DilleniaUPC" w:hAnsi="DilleniaUPC" w:cs="DilleniaUPC" w:hint="cs"/>
          <w:sz w:val="30"/>
          <w:szCs w:val="30"/>
          <w:cs/>
        </w:rPr>
        <w:t xml:space="preserve"> (</w:t>
      </w:r>
      <w:r w:rsidR="00E20A3A">
        <w:rPr>
          <w:rFonts w:ascii="DilleniaUPC" w:hAnsi="DilleniaUPC" w:cs="DilleniaUPC"/>
          <w:sz w:val="30"/>
          <w:szCs w:val="30"/>
        </w:rPr>
        <w:t>F</w:t>
      </w:r>
      <w:r w:rsidR="006E3E7D" w:rsidRPr="00ED00B1">
        <w:rPr>
          <w:rFonts w:ascii="DilleniaUPC" w:hAnsi="DilleniaUPC" w:cs="DilleniaUPC" w:hint="cs"/>
          <w:sz w:val="30"/>
          <w:szCs w:val="30"/>
        </w:rPr>
        <w:t xml:space="preserve">alse </w:t>
      </w:r>
      <w:r w:rsidR="00E20A3A">
        <w:rPr>
          <w:rFonts w:ascii="DilleniaUPC" w:hAnsi="DilleniaUPC" w:cs="DilleniaUPC"/>
          <w:sz w:val="30"/>
          <w:szCs w:val="30"/>
        </w:rPr>
        <w:t>M</w:t>
      </w:r>
      <w:r w:rsidR="006E3E7D" w:rsidRPr="00ED00B1">
        <w:rPr>
          <w:rFonts w:ascii="DilleniaUPC" w:hAnsi="DilleniaUPC" w:cs="DilleniaUPC" w:hint="cs"/>
          <w:sz w:val="30"/>
          <w:szCs w:val="30"/>
        </w:rPr>
        <w:t xml:space="preserve">arket) </w:t>
      </w:r>
      <w:r w:rsidR="000C3523" w:rsidRPr="00ED00B1">
        <w:rPr>
          <w:rFonts w:ascii="DilleniaUPC" w:hAnsi="DilleniaUPC" w:cs="DilleniaUPC" w:hint="cs"/>
          <w:sz w:val="30"/>
          <w:szCs w:val="30"/>
          <w:cs/>
        </w:rPr>
        <w:t>โดยมีการตรวจสอบ</w:t>
      </w:r>
      <w:r w:rsidR="009E3F6A" w:rsidRPr="00ED00B1">
        <w:rPr>
          <w:rFonts w:ascii="DilleniaUPC" w:hAnsi="DilleniaUPC" w:cs="DilleniaUPC" w:hint="cs"/>
          <w:sz w:val="30"/>
          <w:szCs w:val="30"/>
          <w:cs/>
        </w:rPr>
        <w:t>ข้อมูล</w:t>
      </w:r>
      <w:r w:rsidRPr="00ED00B1">
        <w:rPr>
          <w:rFonts w:ascii="DilleniaUPC" w:hAnsi="DilleniaUPC" w:cs="DilleniaUPC"/>
          <w:spacing w:val="-8"/>
          <w:sz w:val="30"/>
          <w:szCs w:val="30"/>
          <w:cs/>
        </w:rPr>
        <w:t>จากหน่วยงานกำกับดูแลที่เกี่ยวข้อง อาทิ สำนักงาน ก.ล.ต. ตลาดหลักทรัพย์ สำนักงานป้องกันและปราบปรามการฟอกเงิน</w:t>
      </w:r>
      <w:r w:rsidR="00995598" w:rsidRPr="00ED00B1">
        <w:rPr>
          <w:rFonts w:ascii="DilleniaUPC" w:hAnsi="DilleniaUPC" w:cs="DilleniaUPC"/>
          <w:spacing w:val="-8"/>
          <w:sz w:val="30"/>
          <w:szCs w:val="30"/>
          <w:cs/>
        </w:rPr>
        <w:t xml:space="preserve"> </w:t>
      </w:r>
      <w:r w:rsidR="000D4655" w:rsidRPr="00ED00B1">
        <w:rPr>
          <w:rFonts w:ascii="DilleniaUPC" w:hAnsi="DilleniaUPC" w:cs="DilleniaUPC" w:hint="cs"/>
          <w:spacing w:val="-8"/>
          <w:sz w:val="30"/>
          <w:szCs w:val="30"/>
          <w:cs/>
        </w:rPr>
        <w:t>เป็นต้น</w:t>
      </w:r>
      <w:r w:rsidR="000D4655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582EB58D" w14:textId="6427EE85" w:rsidR="000C3523" w:rsidRPr="00ED00B1" w:rsidRDefault="000C3523" w:rsidP="005A5F16">
      <w:pPr>
        <w:widowControl w:val="0"/>
        <w:tabs>
          <w:tab w:val="left" w:pos="709"/>
          <w:tab w:val="left" w:pos="1276"/>
          <w:tab w:val="left" w:pos="1701"/>
        </w:tabs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4532FC"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>.2</w:t>
      </w:r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C91BDE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ข้อมูล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ประกอบการพิจารณา</w:t>
      </w:r>
      <w:r w:rsidR="009E73A3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และการกำหนดวงเงิน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B2440C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สมาชิกต้องตรวจสอบ</w:t>
      </w:r>
      <w:r w:rsidR="00C91BDE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ข้อมูลและ</w:t>
      </w:r>
      <w:r w:rsidR="00B2440C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เอกสาร</w:t>
      </w:r>
      <w:r w:rsidR="001F0345" w:rsidRPr="00ED00B1">
        <w:rPr>
          <w:rFonts w:ascii="DilleniaUPC" w:eastAsia="Calibri" w:hAnsi="DilleniaUPC" w:cs="DilleniaUPC"/>
          <w:sz w:val="30"/>
          <w:szCs w:val="30"/>
          <w:lang w:eastAsia="en-US"/>
        </w:rPr>
        <w:br/>
      </w:r>
      <w:r w:rsidR="008B4973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จากแหล่งที่เชื่อถือได้</w:t>
      </w:r>
      <w:r w:rsidR="008B497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B34304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เพื่อใช้</w:t>
      </w:r>
      <w:r w:rsidR="00B2440C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ประกอบการพิจารณา</w:t>
      </w:r>
      <w:r w:rsidR="00B34304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ตามข้อ </w:t>
      </w:r>
      <w:r w:rsidR="004532FC"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="00B34304" w:rsidRPr="00ED00B1">
        <w:rPr>
          <w:rFonts w:ascii="DilleniaUPC" w:eastAsia="Calibri" w:hAnsi="DilleniaUPC" w:cs="DilleniaUPC"/>
          <w:sz w:val="30"/>
          <w:szCs w:val="30"/>
          <w:lang w:eastAsia="en-US"/>
        </w:rPr>
        <w:t xml:space="preserve">.1 </w:t>
      </w:r>
      <w:r w:rsidR="00B2440C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เช่น</w:t>
      </w:r>
    </w:p>
    <w:p w14:paraId="68421056" w14:textId="6AF64DE3" w:rsidR="003C5034" w:rsidRPr="00ED00B1" w:rsidRDefault="004532FC" w:rsidP="005A5F16">
      <w:pPr>
        <w:widowControl w:val="0"/>
        <w:tabs>
          <w:tab w:val="left" w:pos="2268"/>
        </w:tabs>
        <w:ind w:firstLine="1701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="003C5034" w:rsidRPr="00ED00B1">
        <w:rPr>
          <w:rFonts w:ascii="DilleniaUPC" w:eastAsia="Calibri" w:hAnsi="DilleniaUPC" w:cs="DilleniaUPC"/>
          <w:sz w:val="30"/>
          <w:szCs w:val="30"/>
          <w:lang w:eastAsia="en-US"/>
        </w:rPr>
        <w:t>.2.1</w:t>
      </w:r>
      <w:r w:rsidR="00C476FF"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3C5034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บุคคลธรรมดา</w:t>
      </w:r>
    </w:p>
    <w:p w14:paraId="50C77720" w14:textId="21FF754D" w:rsidR="00422421" w:rsidRPr="00ED00B1" w:rsidRDefault="00422421" w:rsidP="005A5F16">
      <w:pPr>
        <w:widowControl w:val="0"/>
        <w:tabs>
          <w:tab w:val="left" w:pos="2552"/>
        </w:tabs>
        <w:ind w:right="-4" w:firstLine="2268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(1)</w:t>
      </w:r>
      <w:r w:rsidR="00C476FF" w:rsidRPr="00ED00B1">
        <w:rPr>
          <w:rFonts w:ascii="DilleniaUPC" w:eastAsia="Cordia New" w:hAnsi="DilleniaUPC" w:cs="DilleniaUPC"/>
          <w:sz w:val="30"/>
          <w:szCs w:val="30"/>
          <w:cs/>
        </w:rPr>
        <w:tab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เอกสารแสดงรายการทรัพย์สินที่ลูกค้านำมาแสดงต่อสมาชิก ควรเป็นเอกสารที่แสดงถึงทรัพย์สินที่มีสภาพคล่องและปลอดจากภาระผูกพันและเพียงพอต่อการพิจารณากำหนดวงเงิน และความสมเหตุสมผล</w:t>
      </w:r>
      <w:r w:rsidR="004739E9" w:rsidRPr="00ED00B1">
        <w:rPr>
          <w:rFonts w:ascii="DilleniaUPC" w:eastAsia="Cordia New" w:hAnsi="DilleniaUPC" w:cs="DilleniaUPC"/>
          <w:sz w:val="30"/>
          <w:szCs w:val="30"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ของการเป็นผู้มีกรรมสิทธิ์หรือเป็นเจ้าของที่แท้จริงในทรัพย์สิน เช่น บัญชีเงินฝากธนาคารเฉลี่ยย้อนหลังอย่างน้อย 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3</w:t>
      </w:r>
      <w:r w:rsidR="007E663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เดือน พันธบัตร บัตรเงินฝาก ตั๋วแลกเงินที่สถาบันการเงินเป็นผู้ออก หุ้นกู้ หน่วยลงทุน ยอดหลักทรัพย์จดทะเบียนคงเหลือ</w:t>
      </w:r>
      <w:r w:rsidR="00A86793" w:rsidRPr="00ED00B1">
        <w:rPr>
          <w:rFonts w:ascii="DilleniaUPC" w:eastAsia="Cordia New" w:hAnsi="DilleniaUPC" w:cs="DilleniaUPC"/>
          <w:sz w:val="30"/>
          <w:szCs w:val="30"/>
          <w:cs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lastRenderedPageBreak/>
        <w:t xml:space="preserve">รายเดือนย้อนหลังมากกว่า 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1</w:t>
      </w:r>
      <w:r w:rsidR="007E663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เดือน เป็นต้น โดยวงเงินที่ลูกค้าได้รับไม่ควรเกิน 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3</w:t>
      </w:r>
      <w:r w:rsidR="007E663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เท่าของมูลค่าเฉลี่ยรวมของทรัพย์สิน</w:t>
      </w:r>
      <w:r w:rsidR="00A86793" w:rsidRPr="00ED00B1">
        <w:rPr>
          <w:rFonts w:ascii="DilleniaUPC" w:eastAsia="Cordia New" w:hAnsi="DilleniaUPC" w:cs="DilleniaUPC"/>
          <w:sz w:val="30"/>
          <w:szCs w:val="30"/>
          <w:cs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ที่นำมาแสดงดังกล่าว</w:t>
      </w:r>
    </w:p>
    <w:p w14:paraId="0F31EBC8" w14:textId="56290283" w:rsidR="00422421" w:rsidRPr="00ED00B1" w:rsidRDefault="00422421" w:rsidP="005A5F16">
      <w:pPr>
        <w:widowControl w:val="0"/>
        <w:tabs>
          <w:tab w:val="left" w:pos="3119"/>
        </w:tabs>
        <w:ind w:firstLine="255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ในกรณีที่เอกสารแสดงรายการทรัพย์สินที่ลูกค้านำมาแสดงระบุถึงทรัพย์สินที่เป็นหลักทรัพย์ที่ลูกค้ามีไว้กับสมาชิกอื่น หลักทรัพย์นั้นควรเป็นหลักทรัพย์ที่มีสภาพคล่องและปลอดจากภาระผูกพัน </w:t>
      </w:r>
      <w:r w:rsidR="004739E9" w:rsidRPr="00ED00B1">
        <w:rPr>
          <w:rFonts w:ascii="DilleniaUPC" w:eastAsia="Cordia New" w:hAnsi="DilleniaUPC" w:cs="DilleniaUPC"/>
          <w:sz w:val="30"/>
          <w:szCs w:val="30"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และปรากฏข้อมูลเพียงพอที่จะแสดงให้เห็นความเคลื่อนไหวของหลักทรัพย์ในบัญชี เช่น </w:t>
      </w:r>
    </w:p>
    <w:p w14:paraId="682AD213" w14:textId="27C4FFE7" w:rsidR="00F44EE3" w:rsidRPr="00ED00B1" w:rsidRDefault="00422421" w:rsidP="00E40B05">
      <w:pPr>
        <w:pStyle w:val="ListParagraph"/>
        <w:widowControl w:val="0"/>
        <w:numPr>
          <w:ilvl w:val="0"/>
          <w:numId w:val="5"/>
        </w:numPr>
        <w:tabs>
          <w:tab w:val="left" w:pos="2977"/>
        </w:tabs>
        <w:spacing w:after="0" w:line="240" w:lineRule="auto"/>
        <w:ind w:left="0" w:right="-146" w:firstLine="2552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รายงานการเคลื่อนไหวของหลักทรัพย์ (</w:t>
      </w:r>
      <w:r w:rsidR="00E20A3A">
        <w:rPr>
          <w:rFonts w:ascii="DilleniaUPC" w:eastAsia="Cordia New" w:hAnsi="DilleniaUPC" w:cs="DilleniaUPC"/>
          <w:sz w:val="30"/>
          <w:szCs w:val="30"/>
        </w:rPr>
        <w:t>M</w:t>
      </w:r>
      <w:r w:rsidRPr="00ED00B1">
        <w:rPr>
          <w:rFonts w:ascii="DilleniaUPC" w:eastAsia="Cordia New" w:hAnsi="DilleniaUPC" w:cs="DilleniaUPC" w:hint="cs"/>
          <w:sz w:val="30"/>
          <w:szCs w:val="30"/>
        </w:rPr>
        <w:t>ovement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) ย้อนหลังอย่างน้อย </w:t>
      </w:r>
      <w:r w:rsidR="008E4D2A" w:rsidRPr="00ED00B1">
        <w:rPr>
          <w:rFonts w:ascii="DilleniaUPC" w:eastAsia="Cordia New" w:hAnsi="DilleniaUPC" w:cs="DilleniaUPC"/>
          <w:sz w:val="30"/>
          <w:szCs w:val="30"/>
        </w:rPr>
        <w:t>1</w:t>
      </w:r>
      <w:r w:rsidR="008E4D2A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เดือน</w:t>
      </w:r>
    </w:p>
    <w:p w14:paraId="6E071ACC" w14:textId="2285515E" w:rsidR="00422421" w:rsidRPr="00ED00B1" w:rsidRDefault="00422421" w:rsidP="00E40B05">
      <w:pPr>
        <w:pStyle w:val="ListParagraph"/>
        <w:widowControl w:val="0"/>
        <w:numPr>
          <w:ilvl w:val="0"/>
          <w:numId w:val="5"/>
        </w:numPr>
        <w:tabs>
          <w:tab w:val="left" w:pos="2977"/>
        </w:tabs>
        <w:spacing w:after="0" w:line="240" w:lineRule="auto"/>
        <w:ind w:left="0" w:firstLine="2552"/>
        <w:contextualSpacing w:val="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การซื้อขายหรือยอดหลักทรัพย์คงเหลือรายเดือนย้อนหลังมากกว่า </w:t>
      </w:r>
      <w:r w:rsidRPr="00ED00B1">
        <w:rPr>
          <w:rFonts w:ascii="DilleniaUPC" w:eastAsia="Cordia New" w:hAnsi="DilleniaUPC" w:cs="DilleniaUPC" w:hint="cs"/>
          <w:sz w:val="30"/>
          <w:szCs w:val="30"/>
        </w:rPr>
        <w:t xml:space="preserve">1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เดือน</w:t>
      </w:r>
    </w:p>
    <w:p w14:paraId="219BE48B" w14:textId="4CFC0CEE" w:rsidR="00422421" w:rsidRPr="00ED00B1" w:rsidRDefault="00422421" w:rsidP="005A5F16">
      <w:pPr>
        <w:widowControl w:val="0"/>
        <w:tabs>
          <w:tab w:val="left" w:pos="2694"/>
          <w:tab w:val="left" w:pos="2835"/>
          <w:tab w:val="left" w:pos="3119"/>
        </w:tabs>
        <w:ind w:firstLine="255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โดยวงเงินที่ลูกค้าได้รับไม่ควรเกิน </w:t>
      </w:r>
      <w:r w:rsidRPr="00ED00B1">
        <w:rPr>
          <w:rFonts w:ascii="DilleniaUPC" w:eastAsia="Cordia New" w:hAnsi="DilleniaUPC" w:cs="DilleniaUPC" w:hint="cs"/>
          <w:sz w:val="30"/>
          <w:szCs w:val="30"/>
        </w:rPr>
        <w:t xml:space="preserve">1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เท่าของมูลค่าเฉลี่ยของทรัพย์สินที่อยู่กับสมาชิกอื่นที่นำมาแสดง</w:t>
      </w:r>
      <w:r w:rsidR="001D1C05" w:rsidRPr="00ED00B1">
        <w:rPr>
          <w:rFonts w:ascii="DilleniaUPC" w:eastAsia="Cordia New" w:hAnsi="DilleniaUPC" w:cs="DilleniaUPC"/>
          <w:sz w:val="30"/>
          <w:szCs w:val="30"/>
        </w:rPr>
        <w:t xml:space="preserve"> </w:t>
      </w:r>
    </w:p>
    <w:p w14:paraId="749B79A4" w14:textId="595EB498" w:rsidR="00422421" w:rsidRPr="00ED00B1" w:rsidRDefault="00422421" w:rsidP="005A5F16">
      <w:pPr>
        <w:widowControl w:val="0"/>
        <w:tabs>
          <w:tab w:val="left" w:pos="3119"/>
        </w:tabs>
        <w:ind w:firstLine="255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อย่างไรก็ตาม</w:t>
      </w:r>
      <w:r w:rsidRPr="00ED00B1">
        <w:rPr>
          <w:rFonts w:ascii="DilleniaUPC" w:eastAsia="Cordia New" w:hAnsi="DilleniaUPC" w:cs="DilleniaUPC" w:hint="cs"/>
          <w:sz w:val="30"/>
          <w:szCs w:val="30"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สมาชิกอาจนำยอดทรัพย์สินคงเหลือล่าสุด หรือยอดทรัพย์สินสูงสุด</w:t>
      </w:r>
      <w:r w:rsidR="00080B6B" w:rsidRPr="00ED00B1">
        <w:rPr>
          <w:rFonts w:ascii="DilleniaUPC" w:eastAsia="Cordia New" w:hAnsi="DilleniaUPC" w:cs="DilleniaUPC"/>
          <w:sz w:val="30"/>
          <w:szCs w:val="30"/>
          <w:cs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ที่นำมาแสดงมาพิจารณาร่วมด้วยได้ โดยสมาชิกควรพิจารณาเอกสารทางการเงินอย่างระมัดระวังและสมเหตุสมผล </w:t>
      </w:r>
    </w:p>
    <w:p w14:paraId="0B967DEB" w14:textId="19824C51" w:rsidR="00422421" w:rsidRPr="00ED00B1" w:rsidRDefault="00422421" w:rsidP="005A5F16">
      <w:pPr>
        <w:widowControl w:val="0"/>
        <w:tabs>
          <w:tab w:val="left" w:pos="3119"/>
        </w:tabs>
        <w:ind w:firstLine="255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ทั้งนี้ การคำนวณมูลค่าเฉลี่ยของทรัพย์สิน อาจใช้การคำนวณแบบ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 w:hint="cs"/>
          <w:sz w:val="30"/>
          <w:szCs w:val="30"/>
        </w:rPr>
        <w:t xml:space="preserve">imple </w:t>
      </w:r>
      <w:r w:rsidR="00E20A3A">
        <w:rPr>
          <w:rFonts w:ascii="DilleniaUPC" w:eastAsia="Calibri" w:hAnsi="DilleniaUPC" w:cs="DilleniaUPC"/>
          <w:sz w:val="30"/>
          <w:szCs w:val="30"/>
        </w:rPr>
        <w:t>A</w:t>
      </w:r>
      <w:r w:rsidRPr="00ED00B1">
        <w:rPr>
          <w:rFonts w:ascii="DilleniaUPC" w:eastAsia="Calibri" w:hAnsi="DilleniaUPC" w:cs="DilleniaUPC" w:hint="cs"/>
          <w:sz w:val="30"/>
          <w:szCs w:val="30"/>
        </w:rPr>
        <w:t xml:space="preserve">verage </w:t>
      </w:r>
      <w:r w:rsidRPr="00ED00B1">
        <w:rPr>
          <w:rFonts w:ascii="DilleniaUPC" w:eastAsia="Calibri" w:hAnsi="DilleniaUPC" w:cs="DilleniaUPC" w:hint="cs"/>
          <w:sz w:val="30"/>
          <w:szCs w:val="30"/>
          <w:cs/>
        </w:rPr>
        <w:t>หรือ</w:t>
      </w:r>
      <w:r w:rsidRPr="00ED00B1">
        <w:rPr>
          <w:rFonts w:ascii="DilleniaUPC" w:eastAsia="Calibri" w:hAnsi="DilleniaUPC" w:cs="DilleniaUPC" w:hint="cs"/>
          <w:sz w:val="30"/>
          <w:szCs w:val="30"/>
        </w:rPr>
        <w:t xml:space="preserve"> </w:t>
      </w:r>
      <w:r w:rsidR="00E20A3A">
        <w:rPr>
          <w:rFonts w:ascii="DilleniaUPC" w:eastAsia="Calibri" w:hAnsi="DilleniaUPC" w:cs="DilleniaUPC"/>
          <w:sz w:val="30"/>
          <w:szCs w:val="30"/>
        </w:rPr>
        <w:t>W</w:t>
      </w:r>
      <w:r w:rsidRPr="00ED00B1">
        <w:rPr>
          <w:rFonts w:ascii="DilleniaUPC" w:eastAsia="Calibri" w:hAnsi="DilleniaUPC" w:cs="DilleniaUPC" w:hint="cs"/>
          <w:sz w:val="30"/>
          <w:szCs w:val="30"/>
        </w:rPr>
        <w:t xml:space="preserve">eighted </w:t>
      </w:r>
      <w:r w:rsidR="00E20A3A">
        <w:rPr>
          <w:rFonts w:ascii="DilleniaUPC" w:eastAsia="Calibri" w:hAnsi="DilleniaUPC" w:cs="DilleniaUPC"/>
          <w:sz w:val="30"/>
          <w:szCs w:val="30"/>
        </w:rPr>
        <w:t>A</w:t>
      </w:r>
      <w:r w:rsidRPr="00ED00B1">
        <w:rPr>
          <w:rFonts w:ascii="DilleniaUPC" w:eastAsia="Calibri" w:hAnsi="DilleniaUPC" w:cs="DilleniaUPC" w:hint="cs"/>
          <w:sz w:val="30"/>
          <w:szCs w:val="30"/>
        </w:rPr>
        <w:t xml:space="preserve">verage </w:t>
      </w:r>
      <w:r w:rsidRPr="00ED00B1">
        <w:rPr>
          <w:rFonts w:ascii="DilleniaUPC" w:eastAsia="Calibri" w:hAnsi="DilleniaUPC" w:cs="DilleniaUPC" w:hint="cs"/>
          <w:sz w:val="30"/>
          <w:szCs w:val="30"/>
          <w:cs/>
        </w:rPr>
        <w:t>ตามเวลา ตามความเหมาะสมกับปริมาณข้อมูลหรือลักษณะข้อมูลที่ได้รับจากลูกค้า</w:t>
      </w:r>
    </w:p>
    <w:p w14:paraId="2769653B" w14:textId="4CAB351A" w:rsidR="00422421" w:rsidRPr="00ED00B1" w:rsidRDefault="00422421" w:rsidP="005A5F16">
      <w:pPr>
        <w:widowControl w:val="0"/>
        <w:tabs>
          <w:tab w:val="left" w:pos="1843"/>
          <w:tab w:val="left" w:pos="2552"/>
        </w:tabs>
        <w:ind w:firstLine="2268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(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2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) </w:t>
      </w:r>
      <w:r w:rsidR="00CE64C3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หนังสือรับรองเงินเดือน หลักฐานแสดงแหล่งที่มาของรายได้หรือประวัติการเดินบัญชีธนาคาร โดยวงเงินที่ลูกค้าจะได้รับไม่ควรเกิน 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12</w:t>
      </w:r>
      <w:r w:rsidR="007E663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เท่าของรายได้ประจำต่อเดือน ทั้งนี้ ในกรณีที่ลูกค้ามีรายได้ประจำ</w:t>
      </w:r>
      <w:r w:rsidR="004739E9" w:rsidRPr="00ED00B1">
        <w:rPr>
          <w:rFonts w:ascii="DilleniaUPC" w:eastAsia="Cordia New" w:hAnsi="DilleniaUPC" w:cs="DilleniaUPC"/>
          <w:sz w:val="30"/>
          <w:szCs w:val="30"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จากการให้เช่าทรัพย์สิน (เช่น ที่ดิน อาคาร รถยนต์) สมาชิกควรตรวจสอบรายได้และแหล่งที่มาของรายได้จากหลักฐาน</w:t>
      </w:r>
      <w:r w:rsidR="004739E9" w:rsidRPr="00ED00B1">
        <w:rPr>
          <w:rFonts w:ascii="DilleniaUPC" w:eastAsia="Cordia New" w:hAnsi="DilleniaUPC" w:cs="DilleniaUPC"/>
          <w:sz w:val="30"/>
          <w:szCs w:val="30"/>
        </w:rPr>
        <w:br/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ที่น่าเชื่อถือได้เป็นสำคัญ </w:t>
      </w:r>
    </w:p>
    <w:p w14:paraId="115D5F81" w14:textId="102041AD" w:rsidR="00422421" w:rsidRPr="00ED00B1" w:rsidRDefault="00422421" w:rsidP="005A5F16">
      <w:pPr>
        <w:widowControl w:val="0"/>
        <w:tabs>
          <w:tab w:val="left" w:pos="2694"/>
        </w:tabs>
        <w:ind w:firstLine="2268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(</w:t>
      </w:r>
      <w:r w:rsidR="007E6639" w:rsidRPr="00ED00B1">
        <w:rPr>
          <w:rFonts w:ascii="DilleniaUPC" w:eastAsia="Cordia New" w:hAnsi="DilleniaUPC" w:cs="DilleniaUPC"/>
          <w:sz w:val="30"/>
          <w:szCs w:val="30"/>
        </w:rPr>
        <w:t>3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) </w:t>
      </w:r>
      <w:r w:rsidR="00CE64C3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สำหรับลูกค้าที่เป็นเจ้าของกิจการ วงเงินที่ได้รับไม่ควรเกิน </w:t>
      </w:r>
      <w:r w:rsidR="004739E9" w:rsidRPr="00ED00B1">
        <w:rPr>
          <w:rFonts w:ascii="DilleniaUPC" w:eastAsia="Cordia New" w:hAnsi="DilleniaUPC" w:cs="DilleniaUPC"/>
          <w:sz w:val="30"/>
          <w:szCs w:val="30"/>
        </w:rPr>
        <w:t>1</w:t>
      </w:r>
      <w:r w:rsidR="004739E9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เท่าของผลคูณระหว่างส่วนของผู้ถือหุ้นกับสัดส่วนการถือหุ้นของลูกค้าในกิจการดังกล่าว</w:t>
      </w:r>
    </w:p>
    <w:p w14:paraId="46258DE3" w14:textId="3AA9BF52" w:rsidR="00422421" w:rsidRPr="00ED00B1" w:rsidRDefault="004532FC" w:rsidP="005A5F16">
      <w:pPr>
        <w:widowControl w:val="0"/>
        <w:tabs>
          <w:tab w:val="left" w:pos="2268"/>
        </w:tabs>
        <w:ind w:firstLine="1701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="007F07D8" w:rsidRPr="00ED00B1">
        <w:rPr>
          <w:rFonts w:ascii="DilleniaUPC" w:eastAsia="Calibri" w:hAnsi="DilleniaUPC" w:cs="DilleniaUPC"/>
          <w:sz w:val="30"/>
          <w:szCs w:val="30"/>
          <w:lang w:eastAsia="en-US"/>
        </w:rPr>
        <w:t>.2</w:t>
      </w:r>
      <w:r w:rsidR="00422421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.</w:t>
      </w:r>
      <w:r w:rsidR="00422421"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2</w:t>
      </w:r>
      <w:r w:rsidR="00C476FF"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422421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กรณีลูกค้านิติบุคคล</w:t>
      </w:r>
    </w:p>
    <w:p w14:paraId="29C115E2" w14:textId="408452C1" w:rsidR="00422421" w:rsidRPr="00ED00B1" w:rsidRDefault="00422421" w:rsidP="005A5F16">
      <w:pPr>
        <w:widowControl w:val="0"/>
        <w:ind w:firstLine="2268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ให้สมาชิกพิจารณา</w:t>
      </w:r>
      <w:r w:rsidR="0038724C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ลักษณะการประกอบธุรกิจ </w:t>
      </w:r>
      <w:r w:rsidR="00E10C34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ผู้มีอำนาจในการจัดการ </w:t>
      </w:r>
      <w:r w:rsidR="00234FDC" w:rsidRPr="00ED00B1">
        <w:rPr>
          <w:rFonts w:ascii="DilleniaUPC" w:eastAsia="Cordia New" w:hAnsi="DilleniaUPC" w:cs="DilleniaUPC" w:hint="cs"/>
          <w:sz w:val="30"/>
          <w:szCs w:val="30"/>
          <w:cs/>
        </w:rPr>
        <w:t>ฐานะการเงิน</w:t>
      </w:r>
      <w:r w:rsidR="00672F6B" w:rsidRPr="00ED00B1">
        <w:rPr>
          <w:rFonts w:ascii="DilleniaUPC" w:eastAsia="Cordia New" w:hAnsi="DilleniaUPC" w:cs="DilleniaUPC"/>
          <w:sz w:val="30"/>
          <w:szCs w:val="30"/>
        </w:rPr>
        <w:br/>
      </w:r>
      <w:r w:rsidR="00A86793" w:rsidRPr="00ED00B1">
        <w:rPr>
          <w:rFonts w:ascii="DilleniaUPC" w:eastAsia="Cordia New" w:hAnsi="DilleniaUPC" w:cs="DilleniaUPC" w:hint="cs"/>
          <w:sz w:val="30"/>
          <w:szCs w:val="30"/>
          <w:cs/>
        </w:rPr>
        <w:t>ผล</w:t>
      </w:r>
      <w:r w:rsidR="00234FDC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การดำเนินงาน </w:t>
      </w:r>
      <w:r w:rsidR="00417142" w:rsidRPr="00ED00B1">
        <w:rPr>
          <w:rFonts w:ascii="DilleniaUPC" w:eastAsia="Cordia New" w:hAnsi="DilleniaUPC" w:cs="DilleniaUPC" w:hint="cs"/>
          <w:sz w:val="30"/>
          <w:szCs w:val="30"/>
          <w:cs/>
        </w:rPr>
        <w:t>อย่างน้อยตาม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งบการเงินปีล่าสุดที่ผ่านการตรวจสอบแล้ว ซึ่งได้แก่ งบดุล งบกำไรขาดทุน และงบกระแสเงินสด (ถ้ามี) โดยวงเงินที่ลูกค้านิติบุคคลจะได้รับไม่ควรเกิน </w:t>
      </w:r>
      <w:r w:rsidR="00D114C7" w:rsidRPr="00ED00B1">
        <w:rPr>
          <w:rFonts w:ascii="DilleniaUPC" w:eastAsia="Cordia New" w:hAnsi="DilleniaUPC" w:cs="DilleniaUPC"/>
          <w:sz w:val="30"/>
          <w:szCs w:val="30"/>
        </w:rPr>
        <w:t>1</w:t>
      </w:r>
      <w:r w:rsidR="00D114C7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เท่าของส่วนของผู้ถือหุ้นตามงบการเงินดังกล่าว</w:t>
      </w:r>
    </w:p>
    <w:p w14:paraId="6F713F76" w14:textId="0F4FD0D9" w:rsidR="00422421" w:rsidRPr="00ED00B1" w:rsidRDefault="005A5F16" w:rsidP="005A5F16">
      <w:pPr>
        <w:widowControl w:val="0"/>
        <w:tabs>
          <w:tab w:val="left" w:pos="1170"/>
          <w:tab w:val="left" w:pos="1560"/>
          <w:tab w:val="left" w:pos="2268"/>
        </w:tabs>
        <w:ind w:left="418" w:firstLine="1283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6</w:t>
      </w:r>
      <w:r w:rsidR="00422421" w:rsidRPr="00ED00B1">
        <w:rPr>
          <w:rFonts w:ascii="DilleniaUPC" w:hAnsi="DilleniaUPC" w:cs="DilleniaUPC" w:hint="cs"/>
          <w:sz w:val="30"/>
          <w:szCs w:val="30"/>
          <w:cs/>
        </w:rPr>
        <w:t>.</w:t>
      </w:r>
      <w:r w:rsidR="00D730FE" w:rsidRPr="00ED00B1">
        <w:rPr>
          <w:rFonts w:ascii="DilleniaUPC" w:hAnsi="DilleniaUPC" w:cs="DilleniaUPC" w:hint="cs"/>
          <w:sz w:val="30"/>
          <w:szCs w:val="30"/>
          <w:cs/>
        </w:rPr>
        <w:t>2</w:t>
      </w:r>
      <w:r w:rsidR="00422421" w:rsidRPr="00ED00B1">
        <w:rPr>
          <w:rFonts w:ascii="DilleniaUPC" w:hAnsi="DilleniaUPC" w:cs="DilleniaUPC" w:hint="cs"/>
          <w:sz w:val="30"/>
          <w:szCs w:val="30"/>
          <w:cs/>
        </w:rPr>
        <w:t>.</w:t>
      </w:r>
      <w:r w:rsidR="00422421" w:rsidRPr="00ED00B1">
        <w:rPr>
          <w:rFonts w:ascii="DilleniaUPC" w:hAnsi="DilleniaUPC" w:cs="DilleniaUPC" w:hint="cs"/>
          <w:sz w:val="30"/>
          <w:szCs w:val="30"/>
        </w:rPr>
        <w:t>3</w:t>
      </w:r>
      <w:r w:rsidR="00C476FF" w:rsidRPr="00ED00B1">
        <w:rPr>
          <w:rFonts w:ascii="DilleniaUPC" w:hAnsi="DilleniaUPC" w:cs="DilleniaUPC"/>
          <w:sz w:val="30"/>
          <w:szCs w:val="30"/>
        </w:rPr>
        <w:tab/>
      </w:r>
      <w:r w:rsidR="00422421" w:rsidRPr="00ED00B1">
        <w:rPr>
          <w:rFonts w:ascii="DilleniaUPC" w:hAnsi="DilleniaUPC" w:cs="DilleniaUPC" w:hint="cs"/>
          <w:sz w:val="30"/>
          <w:szCs w:val="30"/>
          <w:cs/>
        </w:rPr>
        <w:t xml:space="preserve">กรณีบัญชี </w:t>
      </w:r>
      <w:r w:rsidR="00422421" w:rsidRPr="00ED00B1">
        <w:rPr>
          <w:rFonts w:ascii="DilleniaUPC" w:eastAsia="Cordia New" w:hAnsi="DilleniaUPC" w:cs="DilleniaUPC" w:hint="cs"/>
          <w:sz w:val="30"/>
          <w:szCs w:val="30"/>
        </w:rPr>
        <w:t>Cash</w:t>
      </w:r>
      <w:r w:rsidR="00422421" w:rsidRPr="00ED00B1">
        <w:rPr>
          <w:rFonts w:ascii="DilleniaUPC" w:hAnsi="DilleniaUPC" w:cs="DilleniaUPC" w:hint="cs"/>
          <w:sz w:val="30"/>
          <w:szCs w:val="30"/>
        </w:rPr>
        <w:t xml:space="preserve"> Balance </w:t>
      </w:r>
    </w:p>
    <w:p w14:paraId="669C9331" w14:textId="781E0C8E" w:rsidR="00422421" w:rsidRPr="00ED00B1" w:rsidRDefault="00422421" w:rsidP="00481F9E">
      <w:pPr>
        <w:widowControl w:val="0"/>
        <w:ind w:firstLine="22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ลูกค้าที่เปิดบัญชี 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 xml:space="preserve">Cash Balance 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ชิกพิจารณาให้วงเงินในการซื้อขายไม่เกินเงินสดหรือเงินค่าขายหลักทรัพย์ที่วางเป็นหลักประกันในการชำระราคา ซึ่งในกรณีนี้ ให้สมาชิกนำข้อมูลจากการทำการรู้จักลูกค้าและตรวจสอบเพื่อทราบข้อเท็จจริงเกี่ยวกับลูกค้า (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KYC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/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CDD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) มาพิจารณากำหนดเกณฑ์จำนวนเงินรับโอนสำหรับลูกค้าแต่ละรายหรือแต่ละกลุ่ม </w:t>
      </w:r>
    </w:p>
    <w:p w14:paraId="1FC7AC6C" w14:textId="5EEE4BBD" w:rsidR="00422421" w:rsidRPr="00ED00B1" w:rsidRDefault="00422421" w:rsidP="005A5F16">
      <w:pPr>
        <w:widowControl w:val="0"/>
        <w:ind w:firstLine="22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ในกรณีที่ลูกค้าไม่ได้แสดงเอกสารเกี่ยวกับฐานะการเงินของลูกค้า เกณฑ์จำนวนเงินดังกล่าวไม่ควรเกิน 500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,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000 บาท  อย่างไรก็ตาม หากสมาชิกมีกระบวนการหรือขั้นตอนในการพิจารณาปัจจัยเชิงคุณภาพด้านอื่นประกอบการพิจารณาเพิ่มเติม อาทิ อาชีพ ตำแหน่งงาน รายได้ แหล่งที่มาของรายได้ สถานที่ทำงาน หรือ อายุ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เป็นต้น โดยข้อมูลที่นำมาพิจารณามาจากแหล่งที่เชื่อถือได้และมีความสมเหตุสมผล และพิจารณาจากข้อมูลหลายปัจจัยร่วมกัน  สมาชิกอาจพิจารณากำหนดเกณฑ์จำนวนเงินรับโอนเพิ่มได้ แต่ทั้งนี้เกณฑ์จำนวนเงินรับโอนภายหลังการพิจารณาปัจจัยเชิงคุณภาพเพิ่มเติม ไม่ควรเกิน 1,000,000 บาท </w:t>
      </w:r>
    </w:p>
    <w:p w14:paraId="4A2E7B1C" w14:textId="79718671" w:rsidR="00422421" w:rsidRPr="00ED00B1" w:rsidRDefault="00422421" w:rsidP="005A5F16">
      <w:pPr>
        <w:widowControl w:val="0"/>
        <w:ind w:firstLine="22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ากลูกค้ามีการโอนเงินเข้ามาหรือยอดเงินโอนสะสมสูงกว่าเกณฑ์จำนวนเงินนั้นบ่อยครั้งหรืออย่างมีนัยสำคัญ สมาชิกจะต้องดำเนินการทบทวนการรู้จักลูกค้าและตรวจสอบเพื่อทราบข้อเท็จจริงเกี่ยวกับลูกค้า (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KYC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/</w:t>
      </w:r>
      <w:r w:rsidRPr="00ED00B1">
        <w:rPr>
          <w:rFonts w:ascii="DilleniaUPC" w:eastAsia="Calibri" w:hAnsi="DilleniaUPC" w:cs="DilleniaUPC" w:hint="cs"/>
          <w:sz w:val="30"/>
          <w:szCs w:val="30"/>
          <w:lang w:eastAsia="en-US"/>
        </w:rPr>
        <w:t>CDD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 รวมทั้งทบทวนฐานะการเงินของลูกค้า หากพบว่าข้อมูลในการรู้จักลูกค้าและตรวจสอบเพื่อทราบข้อเท็จจริง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>เกี่ยวกับลูกค้าไม่เพียงพอเมื่อเทียบกับจำนวนเงินที่โอนเข้ามา ให้</w:t>
      </w:r>
      <w:r w:rsidR="0090178D"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ดำเนินกระบวนการรู้จักลูกค้าและตรวจสอบ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เพื่อทราบข้อเท็จจริงเกี่ยวกับลูกค้าเพิ่มเติม โดยการทบทวนฐานะการเงินของลูกค้าควรมีเอกสารหลักฐานสนับสนุน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Pr="00ED00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การทบทวนทำนองเดียวกับการพิจารณาความสามารถในการชำระหนี้ของลูกค้า กรณีลูกค้าปัจจุบันของสมาชิกอาจใช้ข้อมูลมูลค่าทรัพย์สินที่มีอยู่กับสมาชิกสุทธิที่ปลอดภาระผูกพันเป็นแนวทางในการกำหนดเกณฑ์จำนวนเงิน</w:t>
      </w:r>
    </w:p>
    <w:p w14:paraId="6076C968" w14:textId="03206A31" w:rsidR="00161467" w:rsidRPr="00ED00B1" w:rsidRDefault="00971287" w:rsidP="005A5F16">
      <w:pPr>
        <w:widowControl w:val="0"/>
        <w:tabs>
          <w:tab w:val="left" w:pos="1276"/>
          <w:tab w:val="left" w:pos="1800"/>
        </w:tabs>
        <w:spacing w:before="12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3241AB" w:rsidRPr="00ED00B1">
        <w:rPr>
          <w:rFonts w:ascii="DilleniaUPC" w:eastAsia="Calibri" w:hAnsi="DilleniaUPC" w:cs="DilleniaUPC"/>
          <w:sz w:val="30"/>
          <w:szCs w:val="30"/>
          <w:lang w:eastAsia="en-US"/>
        </w:rPr>
        <w:t>7</w:t>
      </w:r>
      <w:r w:rsidR="00D06FCA" w:rsidRPr="00ED00B1">
        <w:rPr>
          <w:rFonts w:ascii="DilleniaUPC" w:eastAsia="Calibri" w:hAnsi="DilleniaUPC" w:cs="DilleniaUPC"/>
          <w:sz w:val="30"/>
          <w:szCs w:val="30"/>
          <w:lang w:eastAsia="en-US"/>
        </w:rPr>
        <w:tab/>
      </w:r>
      <w:r w:rsidR="00945132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หลักทรัพย์</w:t>
      </w:r>
      <w:r w:rsidR="00703028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ที่นำมาแสดง หรือ</w:t>
      </w:r>
      <w:r w:rsidR="0076111A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ใช้</w:t>
      </w:r>
      <w:r w:rsidR="00703028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</w:t>
      </w:r>
      <w:r w:rsidR="0076111A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หลัก</w:t>
      </w:r>
      <w:r w:rsidR="00703028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ประกัน</w:t>
      </w:r>
      <w:r w:rsidR="001A1DFF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>สำหรับการซื้อขายหลักทรัพย์</w:t>
      </w:r>
    </w:p>
    <w:p w14:paraId="11F92F06" w14:textId="72F3127F" w:rsidR="00862227" w:rsidRPr="00ED00B1" w:rsidRDefault="00587FDD" w:rsidP="005A5F16">
      <w:pPr>
        <w:pStyle w:val="ListParagraph"/>
        <w:widowControl w:val="0"/>
        <w:tabs>
          <w:tab w:val="left" w:pos="990"/>
          <w:tab w:val="left" w:pos="1350"/>
          <w:tab w:val="left" w:pos="1560"/>
        </w:tabs>
        <w:spacing w:after="0" w:line="240" w:lineRule="auto"/>
        <w:ind w:left="0" w:firstLine="1267"/>
        <w:contextualSpacing w:val="0"/>
        <w:jc w:val="thaiDistribute"/>
        <w:rPr>
          <w:rFonts w:ascii="DilleniaUPC" w:hAnsi="DilleniaUPC" w:cs="DilleniaUPC"/>
          <w:strike/>
          <w:sz w:val="30"/>
          <w:szCs w:val="30"/>
        </w:rPr>
      </w:pPr>
      <w:bookmarkStart w:id="13" w:name="_Hlk156844656"/>
      <w:r w:rsidRPr="00ED00B1">
        <w:rPr>
          <w:rFonts w:ascii="DilleniaUPC" w:hAnsi="DilleniaUPC" w:cs="DilleniaUPC" w:hint="cs"/>
          <w:sz w:val="30"/>
          <w:szCs w:val="30"/>
          <w:cs/>
        </w:rPr>
        <w:t>ใน</w:t>
      </w:r>
      <w:bookmarkEnd w:id="13"/>
      <w:r w:rsidR="00B1747E" w:rsidRPr="00ED00B1">
        <w:rPr>
          <w:rFonts w:ascii="DilleniaUPC" w:hAnsi="DilleniaUPC" w:cs="DilleniaUPC"/>
          <w:sz w:val="30"/>
          <w:szCs w:val="30"/>
          <w:cs/>
        </w:rPr>
        <w:t>กรณีที่สมาชิกใช้หลักทรัพย์ของ</w:t>
      </w:r>
      <w:r w:rsidR="00F546BC" w:rsidRPr="00ED00B1">
        <w:rPr>
          <w:rFonts w:ascii="DilleniaUPC" w:hAnsi="DilleniaUPC" w:cs="DilleniaUPC"/>
          <w:sz w:val="30"/>
          <w:szCs w:val="30"/>
          <w:cs/>
        </w:rPr>
        <w:t>ลูกค้า</w:t>
      </w:r>
      <w:r w:rsidR="00B1747E" w:rsidRPr="00ED00B1">
        <w:rPr>
          <w:rFonts w:ascii="DilleniaUPC" w:hAnsi="DilleniaUPC" w:cs="DilleniaUPC"/>
          <w:sz w:val="30"/>
          <w:szCs w:val="30"/>
          <w:cs/>
        </w:rPr>
        <w:t>ที่อยู่กับบริษัท</w:t>
      </w:r>
      <w:r w:rsidR="00BB5381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B1747E" w:rsidRPr="00ED00B1">
        <w:rPr>
          <w:rFonts w:ascii="DilleniaUPC" w:hAnsi="DilleniaUPC" w:cs="DilleniaUPC"/>
          <w:sz w:val="30"/>
          <w:szCs w:val="30"/>
          <w:cs/>
        </w:rPr>
        <w:t>หรือ</w:t>
      </w:r>
      <w:r w:rsidR="005D6846" w:rsidRPr="00ED00B1">
        <w:rPr>
          <w:rFonts w:ascii="DilleniaUPC" w:hAnsi="DilleniaUPC" w:cs="DilleniaUPC"/>
          <w:sz w:val="30"/>
          <w:szCs w:val="30"/>
          <w:cs/>
        </w:rPr>
        <w:t>หลักทรัพย์ที่</w:t>
      </w:r>
      <w:r w:rsidR="00B1747E" w:rsidRPr="00ED00B1">
        <w:rPr>
          <w:rFonts w:ascii="DilleniaUPC" w:hAnsi="DilleniaUPC" w:cs="DilleniaUPC"/>
          <w:sz w:val="30"/>
          <w:szCs w:val="30"/>
          <w:cs/>
        </w:rPr>
        <w:t>ลูกค้านำมาแสดง</w:t>
      </w:r>
      <w:r w:rsidR="00BB5381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0A3623" w:rsidRPr="00ED00B1">
        <w:rPr>
          <w:rFonts w:ascii="DilleniaUPC" w:hAnsi="DilleniaUPC" w:cs="DilleniaUPC"/>
          <w:sz w:val="30"/>
          <w:szCs w:val="30"/>
          <w:cs/>
        </w:rPr>
        <w:br/>
      </w:r>
      <w:r w:rsidR="001C51B5" w:rsidRPr="00ED00B1">
        <w:rPr>
          <w:rFonts w:ascii="DilleniaUPC" w:hAnsi="DilleniaUPC" w:cs="DilleniaUPC"/>
          <w:sz w:val="30"/>
          <w:szCs w:val="30"/>
          <w:cs/>
        </w:rPr>
        <w:t>เพื่อ</w:t>
      </w:r>
      <w:r w:rsidR="00BB5381" w:rsidRPr="00ED00B1">
        <w:rPr>
          <w:rFonts w:ascii="DilleniaUPC" w:hAnsi="DilleniaUPC" w:cs="DilleniaUPC"/>
          <w:sz w:val="30"/>
          <w:szCs w:val="30"/>
          <w:cs/>
        </w:rPr>
        <w:t>ประกอบ</w:t>
      </w:r>
      <w:r w:rsidR="00B1747E" w:rsidRPr="00ED00B1">
        <w:rPr>
          <w:rFonts w:ascii="DilleniaUPC" w:hAnsi="DilleniaUPC" w:cs="DilleniaUPC"/>
          <w:sz w:val="30"/>
          <w:szCs w:val="30"/>
          <w:cs/>
        </w:rPr>
        <w:t>การกำหนดวงเงิน</w:t>
      </w:r>
      <w:r w:rsidR="001C51B5" w:rsidRPr="00ED00B1">
        <w:rPr>
          <w:rFonts w:ascii="DilleniaUPC" w:hAnsi="DilleniaUPC" w:cs="DilleniaUPC"/>
          <w:sz w:val="30"/>
          <w:szCs w:val="30"/>
          <w:cs/>
        </w:rPr>
        <w:t xml:space="preserve">ซื้อขาย </w:t>
      </w:r>
      <w:r w:rsidRPr="00ED00B1">
        <w:rPr>
          <w:rFonts w:ascii="DilleniaUPC" w:hAnsi="DilleniaUPC" w:cs="DilleniaUPC"/>
          <w:sz w:val="30"/>
          <w:szCs w:val="30"/>
          <w:cs/>
        </w:rPr>
        <w:t>และ</w:t>
      </w:r>
      <w:r w:rsidR="00D371C0" w:rsidRPr="00ED00B1">
        <w:rPr>
          <w:rFonts w:ascii="DilleniaUPC" w:hAnsi="DilleniaUPC" w:cs="DilleniaUPC" w:hint="cs"/>
          <w:sz w:val="30"/>
          <w:szCs w:val="30"/>
          <w:cs/>
        </w:rPr>
        <w:t>การคำนวณ</w:t>
      </w:r>
      <w:r w:rsidR="001C51B5" w:rsidRPr="00ED00B1">
        <w:rPr>
          <w:rFonts w:ascii="DilleniaUPC" w:hAnsi="DilleniaUPC" w:cs="DilleniaUPC"/>
          <w:sz w:val="30"/>
          <w:szCs w:val="30"/>
          <w:cs/>
        </w:rPr>
        <w:t>อำนาจ</w:t>
      </w:r>
      <w:r w:rsidR="00B1747E" w:rsidRPr="00ED00B1">
        <w:rPr>
          <w:rFonts w:ascii="DilleniaUPC" w:hAnsi="DilleniaUPC" w:cs="DilleniaUPC"/>
          <w:sz w:val="30"/>
          <w:szCs w:val="30"/>
          <w:cs/>
        </w:rPr>
        <w:t xml:space="preserve">ซื้อ </w:t>
      </w:r>
      <w:r w:rsidR="00F43E97" w:rsidRPr="00ED00B1">
        <w:rPr>
          <w:rFonts w:ascii="DilleniaUPC" w:hAnsi="DilleniaUPC" w:cs="DilleniaUPC"/>
          <w:sz w:val="30"/>
          <w:szCs w:val="30"/>
          <w:cs/>
        </w:rPr>
        <w:t>ให้</w:t>
      </w:r>
      <w:r w:rsidR="00BB049D" w:rsidRPr="00ED00B1">
        <w:rPr>
          <w:rFonts w:ascii="DilleniaUPC" w:hAnsi="DilleniaUPC" w:cs="DilleniaUPC"/>
          <w:sz w:val="30"/>
          <w:szCs w:val="30"/>
          <w:cs/>
        </w:rPr>
        <w:t>สมาชิก</w:t>
      </w:r>
      <w:r w:rsidR="0091279F" w:rsidRPr="00ED00B1">
        <w:rPr>
          <w:rFonts w:ascii="DilleniaUPC" w:hAnsi="DilleniaUPC" w:cs="DilleniaUPC" w:hint="cs"/>
          <w:sz w:val="30"/>
          <w:szCs w:val="30"/>
          <w:cs/>
        </w:rPr>
        <w:t>ปฏิบัติ</w:t>
      </w:r>
      <w:r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86E66" w:rsidRPr="00ED00B1">
        <w:rPr>
          <w:rFonts w:ascii="DilleniaUPC" w:hAnsi="DilleniaUPC" w:cs="DilleniaUPC"/>
          <w:sz w:val="30"/>
          <w:szCs w:val="30"/>
          <w:cs/>
        </w:rPr>
        <w:t>ดังนี้</w:t>
      </w:r>
      <w:r w:rsidR="005E7EF1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143D9DFF" w14:textId="112650CD" w:rsidR="00044956" w:rsidRPr="00ED00B1" w:rsidRDefault="004532FC" w:rsidP="005A5F16">
      <w:pPr>
        <w:pStyle w:val="ListParagraph"/>
        <w:widowControl w:val="0"/>
        <w:tabs>
          <w:tab w:val="left" w:pos="1701"/>
        </w:tabs>
        <w:spacing w:after="0" w:line="240" w:lineRule="auto"/>
        <w:ind w:left="0" w:firstLine="1267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7</w:t>
      </w:r>
      <w:r w:rsidR="00A47731" w:rsidRPr="00ED00B1">
        <w:rPr>
          <w:rFonts w:ascii="DilleniaUPC" w:hAnsi="DilleniaUPC" w:cs="DilleniaUPC"/>
          <w:sz w:val="30"/>
          <w:szCs w:val="30"/>
        </w:rPr>
        <w:t>.1</w:t>
      </w:r>
      <w:r w:rsidR="00D06FCA" w:rsidRPr="00ED00B1">
        <w:rPr>
          <w:rFonts w:ascii="DilleniaUPC" w:hAnsi="DilleniaUPC" w:cs="DilleniaUPC"/>
          <w:sz w:val="30"/>
          <w:szCs w:val="30"/>
        </w:rPr>
        <w:tab/>
      </w:r>
      <w:r w:rsidR="00657017" w:rsidRPr="00ED00B1">
        <w:rPr>
          <w:rFonts w:ascii="DilleniaUPC" w:hAnsi="DilleniaUPC" w:cs="DilleniaUPC"/>
          <w:sz w:val="30"/>
          <w:szCs w:val="30"/>
          <w:cs/>
        </w:rPr>
        <w:t xml:space="preserve">ปัจจัยด้านคุณภาพ และอัตรา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657017" w:rsidRPr="00ED00B1">
        <w:rPr>
          <w:rFonts w:ascii="DilleniaUPC" w:hAnsi="DilleniaUPC" w:cs="DilleniaUPC"/>
          <w:sz w:val="30"/>
          <w:szCs w:val="30"/>
        </w:rPr>
        <w:t>aircut</w:t>
      </w:r>
      <w:r w:rsidR="00044956" w:rsidRPr="00ED00B1">
        <w:rPr>
          <w:rFonts w:ascii="DilleniaUPC" w:hAnsi="DilleniaUPC" w:cs="DilleniaUPC"/>
          <w:sz w:val="30"/>
          <w:szCs w:val="30"/>
        </w:rPr>
        <w:t xml:space="preserve">  </w:t>
      </w:r>
    </w:p>
    <w:p w14:paraId="4179A80E" w14:textId="432CC437" w:rsidR="001E424D" w:rsidRPr="00ED00B1" w:rsidRDefault="00044956" w:rsidP="005A5F16">
      <w:pPr>
        <w:pStyle w:val="ListParagraph"/>
        <w:widowControl w:val="0"/>
        <w:tabs>
          <w:tab w:val="left" w:pos="990"/>
          <w:tab w:val="left" w:pos="1350"/>
          <w:tab w:val="left" w:pos="1560"/>
        </w:tabs>
        <w:spacing w:after="0" w:line="240" w:lineRule="auto"/>
        <w:ind w:left="0" w:firstLine="1701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>ให้สมาชิก</w:t>
      </w:r>
      <w:r w:rsidR="0091279F" w:rsidRPr="00ED00B1">
        <w:rPr>
          <w:rFonts w:ascii="DilleniaUPC" w:hAnsi="DilleniaUPC" w:cs="DilleniaUPC"/>
          <w:sz w:val="30"/>
          <w:szCs w:val="30"/>
          <w:cs/>
        </w:rPr>
        <w:t>กำหนดวงเงิน และอำนาจซื้อ</w:t>
      </w:r>
      <w:r w:rsidR="00752C36" w:rsidRPr="00ED00B1">
        <w:rPr>
          <w:rFonts w:ascii="DilleniaUPC" w:hAnsi="DilleniaUPC" w:cs="DilleniaUPC"/>
          <w:sz w:val="30"/>
          <w:szCs w:val="30"/>
          <w:cs/>
        </w:rPr>
        <w:t>ของลูกค้าโดยคำนึงถึง</w:t>
      </w:r>
      <w:r w:rsidR="00CA6959" w:rsidRPr="00ED00B1">
        <w:rPr>
          <w:rFonts w:ascii="DilleniaUPC" w:hAnsi="DilleniaUPC" w:cs="DilleniaUPC"/>
          <w:sz w:val="30"/>
          <w:szCs w:val="30"/>
          <w:cs/>
        </w:rPr>
        <w:t>ปัจจัยด้านคุณภาพของหลักทรัพย์</w:t>
      </w:r>
      <w:r w:rsidR="006D217D" w:rsidRPr="00ED00B1">
        <w:rPr>
          <w:rFonts w:ascii="DilleniaUPC" w:hAnsi="DilleniaUPC" w:cs="DilleniaUPC"/>
          <w:sz w:val="30"/>
          <w:szCs w:val="30"/>
          <w:cs/>
        </w:rPr>
        <w:br/>
      </w:r>
      <w:r w:rsidR="009E3D96" w:rsidRPr="00ED00B1">
        <w:rPr>
          <w:rFonts w:ascii="DilleniaUPC" w:hAnsi="DilleniaUPC" w:cs="DilleniaUPC"/>
          <w:sz w:val="30"/>
          <w:szCs w:val="30"/>
          <w:cs/>
        </w:rPr>
        <w:t xml:space="preserve">ที่อาจกระทบต่อความสามารถของสมาชิกในการบังคับหลักประกัน </w:t>
      </w:r>
      <w:r w:rsidR="003033A7" w:rsidRPr="00ED00B1">
        <w:rPr>
          <w:rFonts w:ascii="DilleniaUPC" w:hAnsi="DilleniaUPC" w:cs="DilleniaUPC"/>
          <w:sz w:val="30"/>
          <w:szCs w:val="30"/>
          <w:cs/>
        </w:rPr>
        <w:t>อาทิ</w:t>
      </w:r>
      <w:r w:rsidR="00CA6959" w:rsidRPr="00ED00B1">
        <w:rPr>
          <w:rFonts w:ascii="DilleniaUPC" w:hAnsi="DilleniaUPC" w:cs="DilleniaUPC"/>
          <w:sz w:val="30"/>
          <w:szCs w:val="30"/>
          <w:cs/>
        </w:rPr>
        <w:t xml:space="preserve"> ปัจจัยพื้นฐาน สภาพคล่อง</w:t>
      </w:r>
      <w:r w:rsidR="00474DC4" w:rsidRPr="00ED00B1">
        <w:rPr>
          <w:rFonts w:ascii="DilleniaUPC" w:hAnsi="DilleniaUPC" w:cs="DilleniaUPC"/>
          <w:sz w:val="30"/>
          <w:szCs w:val="30"/>
          <w:cs/>
        </w:rPr>
        <w:t xml:space="preserve">ของหลักทรัพย์นั้น </w:t>
      </w:r>
      <w:r w:rsidR="00ED244D" w:rsidRPr="00ED00B1">
        <w:rPr>
          <w:rFonts w:ascii="DilleniaUPC" w:hAnsi="DilleniaUPC" w:cs="DilleniaUPC"/>
          <w:sz w:val="30"/>
          <w:szCs w:val="30"/>
          <w:cs/>
        </w:rPr>
        <w:br/>
      </w:r>
      <w:r w:rsidR="003033A7" w:rsidRPr="00ED00B1">
        <w:rPr>
          <w:rFonts w:ascii="DilleniaUPC" w:hAnsi="DilleniaUPC" w:cs="DilleniaUPC"/>
          <w:sz w:val="30"/>
          <w:szCs w:val="30"/>
          <w:cs/>
        </w:rPr>
        <w:t>เป็นต้น</w:t>
      </w:r>
      <w:r w:rsidR="00385F46" w:rsidRPr="00ED00B1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3F6CBB53" w14:textId="5A2C3FE6" w:rsidR="003F635E" w:rsidRPr="00ED00B1" w:rsidRDefault="001E424D" w:rsidP="005A5F16">
      <w:pPr>
        <w:pStyle w:val="ListParagraph"/>
        <w:widowControl w:val="0"/>
        <w:tabs>
          <w:tab w:val="left" w:pos="990"/>
          <w:tab w:val="left" w:pos="1350"/>
          <w:tab w:val="left" w:pos="1560"/>
        </w:tabs>
        <w:spacing w:after="0" w:line="240" w:lineRule="auto"/>
        <w:ind w:left="0" w:firstLine="1701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bookmarkStart w:id="14" w:name="_Hlk172117171"/>
      <w:r w:rsidRPr="00ED00B1">
        <w:rPr>
          <w:rFonts w:ascii="DilleniaUPC" w:hAnsi="DilleniaUPC" w:cs="DilleniaUPC"/>
          <w:sz w:val="30"/>
          <w:szCs w:val="30"/>
          <w:cs/>
        </w:rPr>
        <w:t>กรณีบัญชีเงินส</w:t>
      </w:r>
      <w:bookmarkEnd w:id="14"/>
      <w:r w:rsidR="00257834" w:rsidRPr="00ED00B1">
        <w:rPr>
          <w:rFonts w:ascii="DilleniaUPC" w:hAnsi="DilleniaUPC" w:cs="DilleniaUPC" w:hint="cs"/>
          <w:sz w:val="30"/>
          <w:szCs w:val="30"/>
          <w:cs/>
        </w:rPr>
        <w:t xml:space="preserve">ด </w:t>
      </w:r>
      <w:r w:rsidR="00E17F66" w:rsidRPr="00ED00B1">
        <w:rPr>
          <w:rFonts w:ascii="DilleniaUPC" w:hAnsi="DilleniaUPC" w:cs="DilleniaUPC"/>
          <w:sz w:val="30"/>
          <w:szCs w:val="30"/>
          <w:cs/>
        </w:rPr>
        <w:t>ให้สมาชิกปรับลดมูลค่าหลักทรัพย์</w:t>
      </w:r>
      <w:r w:rsidR="00C47346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C47346" w:rsidRPr="00ED00B1">
        <w:rPr>
          <w:rFonts w:ascii="DilleniaUPC" w:hAnsi="DilleniaUPC" w:cs="DilleniaUPC"/>
          <w:sz w:val="30"/>
          <w:szCs w:val="30"/>
        </w:rPr>
        <w:t>(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C47346" w:rsidRPr="00ED00B1">
        <w:rPr>
          <w:rFonts w:ascii="DilleniaUPC" w:hAnsi="DilleniaUPC" w:cs="DilleniaUPC"/>
          <w:sz w:val="30"/>
          <w:szCs w:val="30"/>
        </w:rPr>
        <w:t xml:space="preserve">aircut) </w:t>
      </w:r>
      <w:r w:rsidR="007C7748" w:rsidRPr="00ED00B1">
        <w:rPr>
          <w:rFonts w:ascii="DilleniaUPC" w:hAnsi="DilleniaUPC" w:cs="DilleniaUPC"/>
          <w:sz w:val="30"/>
          <w:szCs w:val="30"/>
          <w:cs/>
        </w:rPr>
        <w:t>ที่นำมากำหนดวงเงิน</w:t>
      </w:r>
      <w:r w:rsidR="003F221C" w:rsidRPr="00ED00B1">
        <w:rPr>
          <w:rFonts w:ascii="DilleniaUPC" w:hAnsi="DilleniaUPC" w:cs="DilleniaUPC"/>
          <w:sz w:val="30"/>
          <w:szCs w:val="30"/>
          <w:cs/>
        </w:rPr>
        <w:t>และ</w:t>
      </w:r>
      <w:r w:rsidR="00E17F66" w:rsidRPr="00ED00B1">
        <w:rPr>
          <w:rFonts w:ascii="DilleniaUPC" w:hAnsi="DilleniaUPC" w:cs="DilleniaUPC"/>
          <w:sz w:val="30"/>
          <w:szCs w:val="30"/>
          <w:cs/>
        </w:rPr>
        <w:t>คำนวณอำนาจซื้อ</w:t>
      </w:r>
      <w:r w:rsidR="00262280" w:rsidRPr="00ED00B1">
        <w:rPr>
          <w:rFonts w:ascii="DilleniaUPC" w:hAnsi="DilleniaUPC" w:cs="DilleniaUPC"/>
          <w:sz w:val="30"/>
          <w:szCs w:val="30"/>
          <w:cs/>
        </w:rPr>
        <w:t>ตามความเสี่ยงด้านคุณภาพของหลักทรัพย์นั้น</w:t>
      </w:r>
      <w:r w:rsidR="002B04EA" w:rsidRPr="00ED00B1">
        <w:rPr>
          <w:rFonts w:ascii="DilleniaUPC" w:hAnsi="DilleniaUPC" w:cs="DilleniaUPC"/>
          <w:sz w:val="30"/>
          <w:szCs w:val="30"/>
          <w:cs/>
        </w:rPr>
        <w:t>ใน</w:t>
      </w:r>
      <w:r w:rsidR="006D271D" w:rsidRPr="00ED00B1">
        <w:rPr>
          <w:rFonts w:ascii="DilleniaUPC" w:hAnsi="DilleniaUPC" w:cs="DilleniaUPC"/>
          <w:sz w:val="30"/>
          <w:szCs w:val="30"/>
          <w:cs/>
        </w:rPr>
        <w:t>อัตร</w:t>
      </w:r>
      <w:r w:rsidR="002B04EA" w:rsidRPr="00ED00B1">
        <w:rPr>
          <w:rFonts w:ascii="DilleniaUPC" w:hAnsi="DilleniaUPC" w:cs="DilleniaUPC"/>
          <w:sz w:val="30"/>
          <w:szCs w:val="30"/>
          <w:cs/>
        </w:rPr>
        <w:t>า</w:t>
      </w:r>
      <w:r w:rsidR="006D271D" w:rsidRPr="00ED00B1">
        <w:rPr>
          <w:rFonts w:ascii="DilleniaUPC" w:hAnsi="DilleniaUPC" w:cs="DilleniaUPC"/>
          <w:sz w:val="30"/>
          <w:szCs w:val="30"/>
          <w:cs/>
        </w:rPr>
        <w:t>ที่</w:t>
      </w:r>
      <w:r w:rsidR="003F635E" w:rsidRPr="00ED00B1">
        <w:rPr>
          <w:rFonts w:ascii="DilleniaUPC" w:hAnsi="DilleniaUPC" w:cs="DilleniaUPC"/>
          <w:sz w:val="30"/>
          <w:szCs w:val="30"/>
          <w:cs/>
        </w:rPr>
        <w:t xml:space="preserve">เหมาะสม </w:t>
      </w:r>
      <w:r w:rsidR="006D271D" w:rsidRPr="00ED00B1">
        <w:rPr>
          <w:rFonts w:ascii="DilleniaUPC" w:hAnsi="DilleniaUPC" w:cs="DilleniaUPC"/>
          <w:sz w:val="30"/>
          <w:szCs w:val="30"/>
          <w:cs/>
        </w:rPr>
        <w:t>ซึ่ง</w:t>
      </w:r>
      <w:r w:rsidR="003F635E" w:rsidRPr="00ED00B1">
        <w:rPr>
          <w:rFonts w:ascii="DilleniaUPC" w:hAnsi="DilleniaUPC" w:cs="DilleniaUPC"/>
          <w:sz w:val="30"/>
          <w:szCs w:val="30"/>
          <w:cs/>
        </w:rPr>
        <w:t>ต้อง</w:t>
      </w:r>
      <w:r w:rsidR="00E17F66" w:rsidRPr="00ED00B1">
        <w:rPr>
          <w:rFonts w:ascii="DilleniaUPC" w:hAnsi="DilleniaUPC" w:cs="DilleniaUPC"/>
          <w:sz w:val="30"/>
          <w:szCs w:val="30"/>
          <w:cs/>
        </w:rPr>
        <w:t>ไม่ต่ำกว่า</w:t>
      </w:r>
      <w:r w:rsidR="00901060" w:rsidRPr="00ED00B1">
        <w:rPr>
          <w:rFonts w:ascii="DilleniaUPC" w:hAnsi="DilleniaUPC" w:cs="DilleniaUPC"/>
          <w:sz w:val="30"/>
          <w:szCs w:val="30"/>
          <w:cs/>
        </w:rPr>
        <w:t>อัตราดัง</w:t>
      </w:r>
      <w:r w:rsidR="00D33B89" w:rsidRPr="00ED00B1">
        <w:rPr>
          <w:rFonts w:ascii="DilleniaUPC" w:hAnsi="DilleniaUPC" w:cs="DilleniaUPC"/>
          <w:sz w:val="30"/>
          <w:szCs w:val="30"/>
          <w:cs/>
        </w:rPr>
        <w:t>ต่อไป</w:t>
      </w:r>
      <w:r w:rsidR="00901060" w:rsidRPr="00ED00B1">
        <w:rPr>
          <w:rFonts w:ascii="DilleniaUPC" w:hAnsi="DilleniaUPC" w:cs="DilleniaUPC"/>
          <w:sz w:val="30"/>
          <w:szCs w:val="30"/>
          <w:cs/>
        </w:rPr>
        <w:t>นี้</w:t>
      </w:r>
      <w:r w:rsidR="003F635E" w:rsidRPr="00ED00B1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504D40A4" w14:textId="7A4A8C6A" w:rsidR="00901060" w:rsidRPr="00ED00B1" w:rsidRDefault="00901060" w:rsidP="00901060">
      <w:pPr>
        <w:pStyle w:val="ListParagraph"/>
        <w:widowControl w:val="0"/>
        <w:tabs>
          <w:tab w:val="left" w:pos="990"/>
          <w:tab w:val="left" w:pos="1350"/>
          <w:tab w:val="left" w:pos="1560"/>
        </w:tabs>
        <w:ind w:firstLine="981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(</w:t>
      </w:r>
      <w:r w:rsidR="00E970A4" w:rsidRPr="00ED00B1">
        <w:rPr>
          <w:rFonts w:ascii="DilleniaUPC" w:hAnsi="DilleniaUPC" w:cs="DilleniaUPC"/>
          <w:sz w:val="30"/>
          <w:szCs w:val="30"/>
        </w:rPr>
        <w:t>1</w:t>
      </w:r>
      <w:r w:rsidRPr="00ED00B1">
        <w:rPr>
          <w:rFonts w:ascii="DilleniaUPC" w:hAnsi="DilleniaUPC" w:cs="DilleniaUPC"/>
          <w:sz w:val="30"/>
          <w:szCs w:val="30"/>
        </w:rPr>
        <w:t>)</w:t>
      </w:r>
      <w:r w:rsidRPr="00ED00B1">
        <w:rPr>
          <w:rFonts w:ascii="DilleniaUPC" w:hAnsi="DilleniaUPC" w:cs="DilleniaUPC"/>
          <w:sz w:val="30"/>
          <w:szCs w:val="30"/>
        </w:rPr>
        <w:tab/>
      </w:r>
      <w:r w:rsidRPr="00ED00B1">
        <w:rPr>
          <w:rFonts w:ascii="DilleniaUPC" w:hAnsi="DilleniaUPC" w:cs="DilleniaUPC"/>
          <w:sz w:val="30"/>
          <w:szCs w:val="30"/>
          <w:cs/>
        </w:rPr>
        <w:t xml:space="preserve">กรณีหลักทรัพย์ที่อยู่ใน </w:t>
      </w:r>
      <w:r w:rsidRPr="00ED00B1">
        <w:rPr>
          <w:rFonts w:ascii="DilleniaUPC" w:hAnsi="DilleniaUPC" w:cs="DilleniaUPC"/>
          <w:sz w:val="30"/>
          <w:szCs w:val="30"/>
        </w:rPr>
        <w:t>SET100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 ไม่ต่ำกว่าร้อยละ </w:t>
      </w:r>
      <w:r w:rsidRPr="00ED00B1">
        <w:rPr>
          <w:rFonts w:ascii="DilleniaUPC" w:hAnsi="DilleniaUPC" w:cs="DilleniaUPC"/>
          <w:sz w:val="30"/>
          <w:szCs w:val="30"/>
        </w:rPr>
        <w:t xml:space="preserve">10 </w:t>
      </w:r>
    </w:p>
    <w:p w14:paraId="7E67F9C5" w14:textId="5A0B20FC" w:rsidR="00901060" w:rsidRPr="00ED00B1" w:rsidRDefault="00901060" w:rsidP="00901060">
      <w:pPr>
        <w:pStyle w:val="ListParagraph"/>
        <w:widowControl w:val="0"/>
        <w:tabs>
          <w:tab w:val="left" w:pos="990"/>
          <w:tab w:val="left" w:pos="1350"/>
          <w:tab w:val="left" w:pos="1560"/>
        </w:tabs>
        <w:ind w:firstLine="981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(</w:t>
      </w:r>
      <w:r w:rsidR="00E970A4" w:rsidRPr="00ED00B1">
        <w:rPr>
          <w:rFonts w:ascii="DilleniaUPC" w:hAnsi="DilleniaUPC" w:cs="DilleniaUPC"/>
          <w:sz w:val="30"/>
          <w:szCs w:val="30"/>
        </w:rPr>
        <w:t>2</w:t>
      </w:r>
      <w:r w:rsidRPr="00ED00B1">
        <w:rPr>
          <w:rFonts w:ascii="DilleniaUPC" w:hAnsi="DilleniaUPC" w:cs="DilleniaUPC"/>
          <w:sz w:val="30"/>
          <w:szCs w:val="30"/>
        </w:rPr>
        <w:t>)</w:t>
      </w:r>
      <w:r w:rsidRPr="00ED00B1">
        <w:rPr>
          <w:rFonts w:ascii="DilleniaUPC" w:hAnsi="DilleniaUPC" w:cs="DilleniaUPC"/>
          <w:sz w:val="30"/>
          <w:szCs w:val="30"/>
        </w:rPr>
        <w:tab/>
      </w:r>
      <w:r w:rsidRPr="00ED00B1">
        <w:rPr>
          <w:rFonts w:ascii="DilleniaUPC" w:hAnsi="DilleniaUPC" w:cs="DilleniaUPC"/>
          <w:sz w:val="30"/>
          <w:szCs w:val="30"/>
          <w:cs/>
        </w:rPr>
        <w:t xml:space="preserve">กรณีหลักทรัพย์ที่อยู่ใน </w:t>
      </w:r>
      <w:r w:rsidRPr="00ED00B1">
        <w:rPr>
          <w:rFonts w:ascii="DilleniaUPC" w:hAnsi="DilleniaUPC" w:cs="DilleniaUPC"/>
          <w:sz w:val="30"/>
          <w:szCs w:val="30"/>
        </w:rPr>
        <w:t>Non SET100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 ไม่ต่ำกว่าร้อยละ </w:t>
      </w:r>
      <w:r w:rsidRPr="00ED00B1">
        <w:rPr>
          <w:rFonts w:ascii="DilleniaUPC" w:hAnsi="DilleniaUPC" w:cs="DilleniaUPC"/>
          <w:sz w:val="30"/>
          <w:szCs w:val="30"/>
        </w:rPr>
        <w:t>30</w:t>
      </w:r>
    </w:p>
    <w:p w14:paraId="1A33EF8E" w14:textId="677F25C3" w:rsidR="004532DC" w:rsidRPr="00ED00B1" w:rsidRDefault="00EB236A" w:rsidP="00E40B05">
      <w:pPr>
        <w:pStyle w:val="ListParagraph"/>
        <w:widowControl w:val="0"/>
        <w:tabs>
          <w:tab w:val="left" w:pos="990"/>
          <w:tab w:val="left" w:pos="1350"/>
          <w:tab w:val="left" w:pos="1560"/>
        </w:tabs>
        <w:ind w:left="0" w:firstLine="1701"/>
        <w:jc w:val="thaiDistribute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hAnsi="DilleniaUPC" w:cs="DilleniaUPC"/>
          <w:sz w:val="30"/>
          <w:szCs w:val="30"/>
          <w:cs/>
        </w:rPr>
        <w:t>ทั้</w:t>
      </w:r>
      <w:r w:rsidR="00CB6ACD" w:rsidRPr="00ED00B1">
        <w:rPr>
          <w:rFonts w:ascii="DilleniaUPC" w:hAnsi="DilleniaUPC" w:cs="DilleniaUPC"/>
          <w:sz w:val="30"/>
          <w:szCs w:val="30"/>
          <w:cs/>
        </w:rPr>
        <w:t>ง</w:t>
      </w:r>
      <w:r w:rsidR="00F336B9" w:rsidRPr="00ED00B1">
        <w:rPr>
          <w:rFonts w:ascii="DilleniaUPC" w:hAnsi="DilleniaUPC" w:cs="DilleniaUPC"/>
          <w:sz w:val="30"/>
          <w:szCs w:val="30"/>
          <w:cs/>
        </w:rPr>
        <w:t xml:space="preserve">นี้ </w:t>
      </w:r>
      <w:r w:rsidR="00EC07C2" w:rsidRPr="00ED00B1">
        <w:rPr>
          <w:rFonts w:ascii="DilleniaUPC" w:hAnsi="DilleniaUPC" w:cs="DilleniaUPC"/>
          <w:sz w:val="30"/>
          <w:szCs w:val="30"/>
          <w:cs/>
        </w:rPr>
        <w:t>หากมีปัจจัยที่มีผลกระทบต่อคุณภาพของหลักทรัพย์อย่างมีนัยสำคั</w:t>
      </w:r>
      <w:r w:rsidR="008907C8" w:rsidRPr="00ED00B1">
        <w:rPr>
          <w:rFonts w:ascii="DilleniaUPC" w:hAnsi="DilleniaUPC" w:cs="DilleniaUPC"/>
          <w:sz w:val="30"/>
          <w:szCs w:val="30"/>
          <w:cs/>
        </w:rPr>
        <w:t>ญ</w:t>
      </w:r>
      <w:r w:rsidR="00EC07C2" w:rsidRPr="00ED00B1">
        <w:rPr>
          <w:rFonts w:ascii="DilleniaUPC" w:hAnsi="DilleniaUPC" w:cs="DilleniaUPC"/>
          <w:sz w:val="30"/>
          <w:szCs w:val="30"/>
          <w:cs/>
        </w:rPr>
        <w:t xml:space="preserve"> สมาชิก</w:t>
      </w:r>
      <w:r w:rsidR="00C004CA" w:rsidRPr="00ED00B1">
        <w:rPr>
          <w:rFonts w:ascii="DilleniaUPC" w:hAnsi="DilleniaUPC" w:cs="DilleniaUPC"/>
          <w:sz w:val="30"/>
          <w:szCs w:val="30"/>
          <w:cs/>
        </w:rPr>
        <w:t>อาจ</w:t>
      </w:r>
      <w:r w:rsidR="00EC07C2" w:rsidRPr="00ED00B1">
        <w:rPr>
          <w:rFonts w:ascii="DilleniaUPC" w:hAnsi="DilleniaUPC" w:cs="DilleniaUPC"/>
          <w:sz w:val="30"/>
          <w:szCs w:val="30"/>
          <w:cs/>
        </w:rPr>
        <w:t>พิจารณา</w:t>
      </w:r>
      <w:r w:rsidR="00D37B92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D37B92" w:rsidRPr="00ED00B1">
        <w:rPr>
          <w:rFonts w:ascii="DilleniaUPC" w:hAnsi="DilleniaUPC" w:cs="DilleniaUPC"/>
          <w:sz w:val="30"/>
          <w:szCs w:val="30"/>
        </w:rPr>
        <w:t>haircut</w:t>
      </w:r>
      <w:r w:rsidR="00D37B92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941820" w:rsidRPr="00ED00B1">
        <w:rPr>
          <w:rFonts w:ascii="DilleniaUPC" w:hAnsi="DilleniaUPC" w:cs="DilleniaUPC"/>
          <w:sz w:val="30"/>
          <w:szCs w:val="30"/>
          <w:cs/>
        </w:rPr>
        <w:t>ห</w:t>
      </w:r>
      <w:r w:rsidR="00633091" w:rsidRPr="00ED00B1">
        <w:rPr>
          <w:rFonts w:ascii="DilleniaUPC" w:hAnsi="DilleniaUPC" w:cs="DilleniaUPC"/>
          <w:sz w:val="30"/>
          <w:szCs w:val="30"/>
          <w:cs/>
        </w:rPr>
        <w:t>ลักทรัพย์</w:t>
      </w:r>
      <w:r w:rsidR="00D37B92" w:rsidRPr="00ED00B1">
        <w:rPr>
          <w:rFonts w:ascii="DilleniaUPC" w:hAnsi="DilleniaUPC" w:cs="DilleniaUPC"/>
          <w:sz w:val="30"/>
          <w:szCs w:val="30"/>
          <w:cs/>
        </w:rPr>
        <w:t>ในอัตราที่</w:t>
      </w:r>
      <w:r w:rsidR="00C004CA" w:rsidRPr="00ED00B1">
        <w:rPr>
          <w:rFonts w:ascii="DilleniaUPC" w:hAnsi="DilleniaUPC" w:cs="DilleniaUPC"/>
          <w:sz w:val="30"/>
          <w:szCs w:val="30"/>
          <w:cs/>
        </w:rPr>
        <w:t>สูงกว่า</w:t>
      </w:r>
      <w:r w:rsidR="00D37B92" w:rsidRPr="00ED00B1">
        <w:rPr>
          <w:rFonts w:ascii="DilleniaUPC" w:hAnsi="DilleniaUPC" w:cs="DilleniaUPC"/>
          <w:sz w:val="30"/>
          <w:szCs w:val="30"/>
          <w:cs/>
        </w:rPr>
        <w:t>อัตราที่กำหนดข้างต้นได้</w:t>
      </w:r>
    </w:p>
    <w:p w14:paraId="3A66E637" w14:textId="0847AD9C" w:rsidR="00984419" w:rsidRPr="00ED00B1" w:rsidRDefault="005A5F16" w:rsidP="005A5F16">
      <w:pPr>
        <w:pStyle w:val="ListParagraph"/>
        <w:widowControl w:val="0"/>
        <w:tabs>
          <w:tab w:val="left" w:pos="990"/>
          <w:tab w:val="left" w:pos="1701"/>
        </w:tabs>
        <w:spacing w:after="0" w:line="240" w:lineRule="auto"/>
        <w:ind w:left="0" w:firstLine="1264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7.2</w:t>
      </w:r>
      <w:r w:rsidR="00D06FCA" w:rsidRPr="00ED00B1">
        <w:rPr>
          <w:rFonts w:ascii="DilleniaUPC" w:hAnsi="DilleniaUPC" w:cs="DilleniaUPC"/>
          <w:sz w:val="30"/>
          <w:szCs w:val="30"/>
        </w:rPr>
        <w:tab/>
      </w:r>
      <w:r w:rsidR="00984419" w:rsidRPr="00ED00B1">
        <w:rPr>
          <w:rFonts w:ascii="DilleniaUPC" w:hAnsi="DilleniaUPC" w:cs="DilleniaUPC"/>
          <w:sz w:val="30"/>
          <w:szCs w:val="30"/>
          <w:cs/>
        </w:rPr>
        <w:t xml:space="preserve">การเพิ่มอัตรา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984419" w:rsidRPr="00ED00B1">
        <w:rPr>
          <w:rFonts w:ascii="DilleniaUPC" w:hAnsi="DilleniaUPC" w:cs="DilleniaUPC"/>
          <w:sz w:val="30"/>
          <w:szCs w:val="30"/>
        </w:rPr>
        <w:t xml:space="preserve">aircut </w:t>
      </w:r>
      <w:r w:rsidR="001E424D" w:rsidRPr="00ED00B1">
        <w:rPr>
          <w:rFonts w:ascii="DilleniaUPC" w:hAnsi="DilleniaUPC" w:cs="DilleniaUPC"/>
          <w:sz w:val="30"/>
          <w:szCs w:val="30"/>
          <w:cs/>
        </w:rPr>
        <w:t>กรณีบัญชีเงินสด</w:t>
      </w:r>
    </w:p>
    <w:p w14:paraId="7149B88C" w14:textId="50E353F1" w:rsidR="00FA1F4C" w:rsidRPr="00ED00B1" w:rsidRDefault="00984419" w:rsidP="005A5F16">
      <w:pPr>
        <w:pStyle w:val="ListParagraph"/>
        <w:widowControl w:val="0"/>
        <w:tabs>
          <w:tab w:val="left" w:pos="990"/>
          <w:tab w:val="left" w:pos="1350"/>
          <w:tab w:val="left" w:pos="1701"/>
        </w:tabs>
        <w:spacing w:after="0" w:line="240" w:lineRule="auto"/>
        <w:ind w:left="0" w:firstLine="1264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ab/>
      </w:r>
      <w:r w:rsidRPr="00ED00B1">
        <w:rPr>
          <w:rFonts w:ascii="DilleniaUPC" w:hAnsi="DilleniaUPC" w:cs="DilleniaUPC"/>
          <w:sz w:val="30"/>
          <w:szCs w:val="30"/>
        </w:rPr>
        <w:tab/>
      </w:r>
      <w:r w:rsidR="00FA1F4C" w:rsidRPr="00ED00B1">
        <w:rPr>
          <w:rFonts w:ascii="DilleniaUPC" w:hAnsi="DilleniaUPC" w:cs="DilleniaUPC"/>
          <w:sz w:val="30"/>
          <w:szCs w:val="30"/>
          <w:cs/>
        </w:rPr>
        <w:t>ให้สมาชิก</w:t>
      </w:r>
      <w:r w:rsidR="00FA1F4C" w:rsidRPr="00ED00B1">
        <w:rPr>
          <w:rFonts w:ascii="DilleniaUPC" w:hAnsi="DilleniaUPC" w:cs="DilleniaUPC"/>
          <w:sz w:val="30"/>
          <w:szCs w:val="30"/>
        </w:rPr>
        <w:t xml:space="preserve">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FA1F4C" w:rsidRPr="00ED00B1">
        <w:rPr>
          <w:rFonts w:ascii="DilleniaUPC" w:hAnsi="DilleniaUPC" w:cs="DilleniaUPC"/>
          <w:sz w:val="30"/>
          <w:szCs w:val="30"/>
        </w:rPr>
        <w:t xml:space="preserve">aircut </w:t>
      </w:r>
      <w:r w:rsidR="00FA1F4C" w:rsidRPr="00ED00B1">
        <w:rPr>
          <w:rFonts w:ascii="DilleniaUPC" w:hAnsi="DilleniaUPC" w:cs="DilleniaUPC"/>
          <w:sz w:val="30"/>
          <w:szCs w:val="30"/>
          <w:cs/>
        </w:rPr>
        <w:t>หลักทรัพย์เพิ่มขึ้น</w:t>
      </w:r>
      <w:r w:rsidR="00A3339E" w:rsidRPr="00ED00B1">
        <w:rPr>
          <w:rFonts w:ascii="DilleniaUPC" w:hAnsi="DilleniaUPC" w:cs="DilleniaUPC"/>
          <w:sz w:val="30"/>
          <w:szCs w:val="30"/>
          <w:cs/>
        </w:rPr>
        <w:t xml:space="preserve">จากอัตราตามข้อ </w:t>
      </w:r>
      <w:r w:rsidR="004532FC" w:rsidRPr="00ED00B1">
        <w:rPr>
          <w:rFonts w:ascii="DilleniaUPC" w:hAnsi="DilleniaUPC" w:cs="DilleniaUPC"/>
          <w:sz w:val="30"/>
          <w:szCs w:val="30"/>
        </w:rPr>
        <w:t>7</w:t>
      </w:r>
      <w:r w:rsidR="00A3339E" w:rsidRPr="00ED00B1">
        <w:rPr>
          <w:rFonts w:ascii="DilleniaUPC" w:hAnsi="DilleniaUPC" w:cs="DilleniaUPC"/>
          <w:sz w:val="30"/>
          <w:szCs w:val="30"/>
        </w:rPr>
        <w:t xml:space="preserve">.1 </w:t>
      </w:r>
      <w:r w:rsidR="00FA1F4C" w:rsidRPr="00ED00B1">
        <w:rPr>
          <w:rFonts w:ascii="DilleniaUPC" w:hAnsi="DilleniaUPC" w:cs="DilleniaUPC"/>
          <w:sz w:val="30"/>
          <w:szCs w:val="30"/>
          <w:cs/>
        </w:rPr>
        <w:t>อย่างน้อย</w:t>
      </w:r>
      <w:r w:rsidR="008A132E" w:rsidRPr="00ED00B1">
        <w:rPr>
          <w:rFonts w:ascii="DilleniaUPC" w:hAnsi="DilleniaUPC" w:cs="DilleniaUPC"/>
          <w:sz w:val="30"/>
          <w:szCs w:val="30"/>
          <w:cs/>
        </w:rPr>
        <w:t>ในกรณี</w:t>
      </w:r>
      <w:r w:rsidR="00FA1F4C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8A132E" w:rsidRPr="00ED00B1">
        <w:rPr>
          <w:rFonts w:ascii="DilleniaUPC" w:hAnsi="DilleniaUPC" w:cs="DilleniaUPC"/>
          <w:sz w:val="30"/>
          <w:szCs w:val="30"/>
          <w:cs/>
        </w:rPr>
        <w:t xml:space="preserve">ดังต่อไปนี้ </w:t>
      </w:r>
    </w:p>
    <w:p w14:paraId="115AA56A" w14:textId="0D33F087" w:rsidR="00F22E07" w:rsidRPr="00ED00B1" w:rsidRDefault="00D5268C" w:rsidP="005A5F16">
      <w:pPr>
        <w:pStyle w:val="ListParagraph"/>
        <w:widowControl w:val="0"/>
        <w:tabs>
          <w:tab w:val="left" w:pos="2127"/>
        </w:tabs>
        <w:spacing w:after="0" w:line="240" w:lineRule="auto"/>
        <w:ind w:left="0" w:firstLine="1701"/>
        <w:contextualSpacing w:val="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hAnsi="DilleniaUPC" w:cs="DilleniaUPC"/>
          <w:sz w:val="30"/>
          <w:szCs w:val="30"/>
        </w:rPr>
        <w:t>(1)</w:t>
      </w:r>
      <w:r w:rsidR="00A94244" w:rsidRPr="00ED00B1">
        <w:rPr>
          <w:rFonts w:ascii="DilleniaUPC" w:hAnsi="DilleniaUPC" w:cs="DilleniaUPC"/>
          <w:sz w:val="30"/>
          <w:szCs w:val="30"/>
        </w:rPr>
        <w:tab/>
      </w:r>
      <w:r w:rsidR="00901060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ED00B1">
        <w:rPr>
          <w:rFonts w:ascii="DilleniaUPC" w:hAnsi="DilleniaUPC" w:cs="DilleniaUPC"/>
          <w:sz w:val="30"/>
          <w:szCs w:val="30"/>
          <w:cs/>
        </w:rPr>
        <w:t>ที่</w:t>
      </w:r>
      <w:r w:rsidR="00230BD6" w:rsidRPr="00ED00B1">
        <w:rPr>
          <w:rFonts w:ascii="DilleniaUPC" w:hAnsi="DilleniaUPC" w:cs="DilleniaUPC" w:hint="cs"/>
          <w:sz w:val="30"/>
          <w:szCs w:val="30"/>
          <w:cs/>
        </w:rPr>
        <w:t>มี</w:t>
      </w:r>
      <w:r w:rsidR="00534D48" w:rsidRPr="00ED00B1">
        <w:rPr>
          <w:rFonts w:ascii="DilleniaUPC" w:hAnsi="DilleniaUPC" w:cs="DilleniaUPC"/>
          <w:sz w:val="30"/>
          <w:szCs w:val="30"/>
          <w:cs/>
        </w:rPr>
        <w:t>การออกและเสนอขายหุ้นที่ออกใหม่ต่อประชาชน (</w:t>
      </w:r>
      <w:r w:rsidR="00534D48" w:rsidRPr="00ED00B1">
        <w:rPr>
          <w:rFonts w:ascii="DilleniaUPC" w:hAnsi="DilleniaUPC" w:cs="DilleniaUPC"/>
          <w:sz w:val="30"/>
          <w:szCs w:val="30"/>
        </w:rPr>
        <w:t>IPO)</w:t>
      </w:r>
      <w:r w:rsidR="00534D48" w:rsidRPr="00ED00B1">
        <w:rPr>
          <w:rFonts w:ascii="DilleniaUPC" w:hAnsi="DilleniaUPC" w:cs="DilleniaUPC" w:hint="cs"/>
          <w:sz w:val="30"/>
          <w:szCs w:val="30"/>
          <w:cs/>
        </w:rPr>
        <w:t xml:space="preserve"> และ</w:t>
      </w:r>
      <w:r w:rsidRPr="00ED00B1">
        <w:rPr>
          <w:rFonts w:ascii="DilleniaUPC" w:hAnsi="DilleniaUPC" w:cs="DilleniaUPC"/>
          <w:sz w:val="30"/>
          <w:szCs w:val="30"/>
          <w:cs/>
        </w:rPr>
        <w:t>เข้าซื้อขาย</w:t>
      </w:r>
      <w:r w:rsidR="00534D48" w:rsidRPr="00ED00B1">
        <w:rPr>
          <w:rFonts w:ascii="DilleniaUPC" w:hAnsi="DilleniaUPC" w:cs="DilleniaUPC"/>
          <w:sz w:val="30"/>
          <w:szCs w:val="30"/>
          <w:cs/>
        </w:rPr>
        <w:br/>
      </w:r>
      <w:r w:rsidRPr="00ED00B1">
        <w:rPr>
          <w:rFonts w:ascii="DilleniaUPC" w:hAnsi="DilleniaUPC" w:cs="DilleniaUPC"/>
          <w:sz w:val="30"/>
          <w:szCs w:val="30"/>
          <w:cs/>
        </w:rPr>
        <w:t xml:space="preserve">ในตลาดหลักทรัพย์ในช่วง </w:t>
      </w:r>
      <w:r w:rsidR="000F496B" w:rsidRPr="00ED00B1">
        <w:rPr>
          <w:rFonts w:ascii="DilleniaUPC" w:hAnsi="DilleniaUPC" w:cs="DilleniaUPC"/>
          <w:sz w:val="30"/>
          <w:szCs w:val="30"/>
        </w:rPr>
        <w:t xml:space="preserve">60 </w:t>
      </w:r>
      <w:r w:rsidR="000F496B" w:rsidRPr="00ED00B1">
        <w:rPr>
          <w:rFonts w:ascii="DilleniaUPC" w:hAnsi="DilleniaUPC" w:cs="DilleniaUPC"/>
          <w:sz w:val="30"/>
          <w:szCs w:val="30"/>
          <w:cs/>
        </w:rPr>
        <w:t>วัน</w:t>
      </w:r>
      <w:r w:rsidRPr="00ED00B1">
        <w:rPr>
          <w:rFonts w:ascii="DilleniaUPC" w:hAnsi="DilleniaUPC" w:cs="DilleniaUPC"/>
          <w:sz w:val="30"/>
          <w:szCs w:val="30"/>
          <w:cs/>
        </w:rPr>
        <w:t>แรก</w:t>
      </w:r>
      <w:r w:rsidR="008B7230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94244" w:rsidRPr="00ED00B1">
        <w:rPr>
          <w:rFonts w:ascii="DilleniaUPC" w:hAnsi="DilleniaUPC" w:cs="DilleniaUPC"/>
          <w:sz w:val="30"/>
          <w:szCs w:val="30"/>
          <w:cs/>
        </w:rPr>
        <w:t>และกรณีการเข้าตลาด</w:t>
      </w:r>
      <w:r w:rsidR="00901060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A94244" w:rsidRPr="00ED00B1">
        <w:rPr>
          <w:rFonts w:ascii="DilleniaUPC" w:hAnsi="DilleniaUPC" w:cs="DilleniaUPC"/>
          <w:sz w:val="30"/>
          <w:szCs w:val="30"/>
          <w:cs/>
        </w:rPr>
        <w:t>ทางอ้อม (</w:t>
      </w:r>
      <w:r w:rsidR="00E20A3A">
        <w:rPr>
          <w:rFonts w:ascii="DilleniaUPC" w:hAnsi="DilleniaUPC" w:cs="DilleniaUPC"/>
          <w:sz w:val="30"/>
          <w:szCs w:val="30"/>
        </w:rPr>
        <w:t>B</w:t>
      </w:r>
      <w:r w:rsidR="00A94244" w:rsidRPr="00ED00B1">
        <w:rPr>
          <w:rFonts w:ascii="DilleniaUPC" w:hAnsi="DilleniaUPC" w:cs="DilleniaUPC"/>
          <w:sz w:val="30"/>
          <w:szCs w:val="30"/>
        </w:rPr>
        <w:t xml:space="preserve">ackdoor </w:t>
      </w:r>
      <w:r w:rsidR="00E20A3A">
        <w:rPr>
          <w:rFonts w:ascii="DilleniaUPC" w:hAnsi="DilleniaUPC" w:cs="DilleniaUPC"/>
          <w:sz w:val="30"/>
          <w:szCs w:val="30"/>
        </w:rPr>
        <w:t>L</w:t>
      </w:r>
      <w:r w:rsidR="00A94244" w:rsidRPr="00ED00B1">
        <w:rPr>
          <w:rFonts w:ascii="DilleniaUPC" w:hAnsi="DilleniaUPC" w:cs="DilleniaUPC"/>
          <w:sz w:val="30"/>
          <w:szCs w:val="30"/>
        </w:rPr>
        <w:t xml:space="preserve">isting) </w:t>
      </w:r>
      <w:r w:rsidR="00B75696" w:rsidRPr="00ED00B1">
        <w:rPr>
          <w:rFonts w:ascii="DilleniaUPC" w:hAnsi="DilleniaUPC" w:cs="DilleniaUPC"/>
          <w:sz w:val="30"/>
          <w:szCs w:val="30"/>
          <w:cs/>
        </w:rPr>
        <w:t xml:space="preserve">ให้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B75696" w:rsidRPr="00ED00B1">
        <w:rPr>
          <w:rFonts w:ascii="DilleniaUPC" w:hAnsi="DilleniaUPC" w:cs="DilleniaUPC"/>
          <w:sz w:val="30"/>
          <w:szCs w:val="30"/>
        </w:rPr>
        <w:t>aircut</w:t>
      </w:r>
      <w:r w:rsidR="009D58CA" w:rsidRPr="00ED00B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75696" w:rsidRPr="00ED00B1">
        <w:rPr>
          <w:rFonts w:ascii="DilleniaUPC" w:hAnsi="DilleniaUPC" w:cs="DilleniaUPC"/>
          <w:sz w:val="30"/>
          <w:szCs w:val="30"/>
          <w:cs/>
        </w:rPr>
        <w:t>ในอัตรา</w:t>
      </w:r>
      <w:r w:rsidR="006D14B9" w:rsidRPr="00ED00B1">
        <w:rPr>
          <w:rFonts w:ascii="DilleniaUPC" w:hAnsi="DilleniaUPC" w:cs="DilleniaUPC"/>
          <w:sz w:val="30"/>
          <w:szCs w:val="30"/>
          <w:cs/>
        </w:rPr>
        <w:t xml:space="preserve">ไม่น้อยกว่า </w:t>
      </w:r>
      <w:r w:rsidR="0083509F" w:rsidRPr="00ED00B1">
        <w:rPr>
          <w:rFonts w:ascii="DilleniaUPC" w:hAnsi="DilleniaUPC" w:cs="DilleniaUPC"/>
          <w:sz w:val="30"/>
          <w:szCs w:val="30"/>
        </w:rPr>
        <w:t>1</w:t>
      </w:r>
      <w:r w:rsidR="009021EC" w:rsidRPr="00ED00B1">
        <w:rPr>
          <w:rFonts w:ascii="DilleniaUPC" w:hAnsi="DilleniaUPC" w:cs="DilleniaUPC"/>
          <w:sz w:val="30"/>
          <w:szCs w:val="30"/>
        </w:rPr>
        <w:t>.5</w:t>
      </w:r>
      <w:r w:rsidR="009021EC" w:rsidRPr="00ED00B1">
        <w:rPr>
          <w:rFonts w:ascii="DilleniaUPC" w:hAnsi="DilleniaUPC" w:cs="DilleniaUPC"/>
          <w:sz w:val="30"/>
          <w:szCs w:val="30"/>
          <w:cs/>
        </w:rPr>
        <w:t xml:space="preserve"> เท่าของอัตราตามข้อ </w:t>
      </w:r>
      <w:r w:rsidR="00113A8F" w:rsidRPr="00ED00B1">
        <w:rPr>
          <w:rFonts w:ascii="DilleniaUPC" w:hAnsi="DilleniaUPC" w:cs="DilleniaUPC"/>
          <w:sz w:val="30"/>
          <w:szCs w:val="30"/>
        </w:rPr>
        <w:t>7</w:t>
      </w:r>
      <w:r w:rsidR="009021EC" w:rsidRPr="00ED00B1">
        <w:rPr>
          <w:rFonts w:ascii="DilleniaUPC" w:hAnsi="DilleniaUPC" w:cs="DilleniaUPC"/>
          <w:sz w:val="30"/>
          <w:szCs w:val="30"/>
        </w:rPr>
        <w:t xml:space="preserve">.1 </w:t>
      </w:r>
    </w:p>
    <w:p w14:paraId="7B753A43" w14:textId="4B2D017D" w:rsidR="00AC6418" w:rsidRPr="00ED00B1" w:rsidRDefault="00F22E07" w:rsidP="005A5F16">
      <w:pPr>
        <w:pStyle w:val="ListParagraph"/>
        <w:widowControl w:val="0"/>
        <w:tabs>
          <w:tab w:val="left" w:pos="990"/>
          <w:tab w:val="left" w:pos="1350"/>
          <w:tab w:val="left" w:pos="1560"/>
          <w:tab w:val="left" w:pos="2127"/>
        </w:tabs>
        <w:spacing w:after="0" w:line="240" w:lineRule="auto"/>
        <w:ind w:left="0" w:right="-4" w:firstLine="1701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t>(2)</w:t>
      </w:r>
      <w:r w:rsidR="00A94244" w:rsidRPr="00ED00B1">
        <w:rPr>
          <w:rFonts w:ascii="DilleniaUPC" w:hAnsi="DilleniaUPC" w:cs="DilleniaUPC"/>
          <w:sz w:val="30"/>
          <w:szCs w:val="30"/>
          <w:cs/>
        </w:rPr>
        <w:tab/>
      </w:r>
      <w:r w:rsidR="009B3CD8" w:rsidRPr="00ED00B1">
        <w:rPr>
          <w:rFonts w:ascii="DilleniaUPC" w:hAnsi="DilleniaUPC" w:cs="DilleniaUPC"/>
          <w:sz w:val="30"/>
          <w:szCs w:val="30"/>
          <w:cs/>
        </w:rPr>
        <w:t>หาก</w:t>
      </w:r>
      <w:r w:rsidR="007023E9" w:rsidRPr="00ED00B1">
        <w:rPr>
          <w:rFonts w:ascii="DilleniaUPC" w:hAnsi="DilleniaUPC" w:cs="DilleniaUPC"/>
          <w:sz w:val="30"/>
          <w:szCs w:val="30"/>
          <w:cs/>
        </w:rPr>
        <w:t>ลูกค้ารายใดมี</w:t>
      </w:r>
      <w:r w:rsidR="006117F5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7023E9" w:rsidRPr="00ED00B1">
        <w:rPr>
          <w:rFonts w:ascii="DilleniaUPC" w:hAnsi="DilleniaUPC" w:cs="DilleniaUPC"/>
          <w:sz w:val="30"/>
          <w:szCs w:val="30"/>
          <w:cs/>
        </w:rPr>
        <w:t>ที่เป็นหลักประกัน</w:t>
      </w:r>
      <w:r w:rsidR="00B40AE9" w:rsidRPr="00ED00B1">
        <w:rPr>
          <w:rFonts w:ascii="DilleniaUPC" w:hAnsi="DilleniaUPC" w:cs="DilleniaUPC"/>
          <w:sz w:val="30"/>
          <w:szCs w:val="30"/>
          <w:cs/>
        </w:rPr>
        <w:t>กระจุกตัว</w:t>
      </w:r>
      <w:r w:rsidR="00AF2A3A" w:rsidRPr="00ED00B1">
        <w:rPr>
          <w:rFonts w:ascii="DilleniaUPC" w:hAnsi="DilleniaUPC" w:cs="DilleniaUPC"/>
          <w:sz w:val="30"/>
          <w:szCs w:val="30"/>
          <w:cs/>
        </w:rPr>
        <w:t>ในหลักทรัพย์ใดหลักทรัพย์หนึ่ง (</w:t>
      </w:r>
      <w:r w:rsidR="00250695" w:rsidRPr="00ED00B1">
        <w:rPr>
          <w:rFonts w:ascii="DilleniaUPC" w:hAnsi="DilleniaUPC" w:cs="DilleniaUPC"/>
          <w:sz w:val="30"/>
          <w:szCs w:val="30"/>
          <w:cs/>
        </w:rPr>
        <w:t>นับรวม</w:t>
      </w:r>
      <w:r w:rsidR="00901060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EA4CF9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6B39AA" w:rsidRPr="00ED00B1">
        <w:rPr>
          <w:rFonts w:ascii="DilleniaUPC" w:hAnsi="DilleniaUPC" w:cs="DilleniaUPC"/>
          <w:sz w:val="30"/>
          <w:szCs w:val="30"/>
        </w:rPr>
        <w:t>NVDR</w:t>
      </w:r>
      <w:r w:rsidR="008F2589" w:rsidRPr="00ED00B1">
        <w:rPr>
          <w:rFonts w:ascii="DilleniaUPC" w:hAnsi="DilleniaUPC" w:cs="DilleniaUPC"/>
          <w:sz w:val="30"/>
          <w:szCs w:val="30"/>
          <w:cs/>
        </w:rPr>
        <w:t>)</w:t>
      </w:r>
      <w:r w:rsidR="00EA4CF9" w:rsidRPr="00ED00B1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617F51D6" w14:textId="25642B8D" w:rsidR="00552C3A" w:rsidRPr="00ED00B1" w:rsidRDefault="00AC6418" w:rsidP="00ED244D">
      <w:pPr>
        <w:pStyle w:val="ListParagraph"/>
        <w:widowControl w:val="0"/>
        <w:numPr>
          <w:ilvl w:val="0"/>
          <w:numId w:val="27"/>
        </w:numPr>
        <w:tabs>
          <w:tab w:val="left" w:pos="990"/>
          <w:tab w:val="left" w:pos="1350"/>
          <w:tab w:val="left" w:pos="1560"/>
          <w:tab w:val="left" w:pos="2520"/>
        </w:tabs>
        <w:spacing w:after="0" w:line="240" w:lineRule="auto"/>
        <w:ind w:left="0" w:right="-4" w:firstLine="2160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>กรณีหลักประกันกระจุกตัว</w:t>
      </w:r>
      <w:r w:rsidR="00B40AE9" w:rsidRPr="00ED00B1">
        <w:rPr>
          <w:rFonts w:ascii="DilleniaUPC" w:hAnsi="DilleniaUPC" w:cs="DilleniaUPC"/>
          <w:sz w:val="30"/>
          <w:szCs w:val="30"/>
          <w:cs/>
        </w:rPr>
        <w:t xml:space="preserve">มากกว่าร้อยละ </w:t>
      </w:r>
      <w:r w:rsidR="00B40AE9" w:rsidRPr="00ED00B1">
        <w:rPr>
          <w:rFonts w:ascii="DilleniaUPC" w:hAnsi="DilleniaUPC" w:cs="DilleniaUPC"/>
          <w:sz w:val="30"/>
          <w:szCs w:val="30"/>
        </w:rPr>
        <w:t>5</w:t>
      </w:r>
      <w:r w:rsidR="00B40AE9" w:rsidRPr="00ED00B1">
        <w:rPr>
          <w:rFonts w:ascii="DilleniaUPC" w:hAnsi="DilleniaUPC" w:cs="DilleniaUPC"/>
          <w:sz w:val="30"/>
          <w:szCs w:val="30"/>
          <w:cs/>
        </w:rPr>
        <w:t xml:space="preserve"> ของจำนวนหลักทรัพย์ที่เรียกชำระแล้วทั้งหมดของบริษัทที่ออกหลักทรัพย์นั้น </w:t>
      </w:r>
      <w:bookmarkStart w:id="15" w:name="_Hlk157265935"/>
      <w:r w:rsidR="00F87AAD" w:rsidRPr="00ED00B1">
        <w:rPr>
          <w:rFonts w:ascii="DilleniaUPC" w:hAnsi="DilleniaUPC" w:cs="DilleniaUPC"/>
          <w:sz w:val="30"/>
          <w:szCs w:val="30"/>
          <w:cs/>
        </w:rPr>
        <w:t>ให้</w:t>
      </w:r>
      <w:r w:rsidR="00B75696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F87AAD" w:rsidRPr="00ED00B1">
        <w:rPr>
          <w:rFonts w:ascii="DilleniaUPC" w:hAnsi="DilleniaUPC" w:cs="DilleniaUPC"/>
          <w:sz w:val="30"/>
          <w:szCs w:val="30"/>
        </w:rPr>
        <w:t xml:space="preserve">haircut </w:t>
      </w:r>
      <w:r w:rsidR="00B75696" w:rsidRPr="00ED00B1">
        <w:rPr>
          <w:rFonts w:ascii="DilleniaUPC" w:hAnsi="DilleniaUPC" w:cs="DilleniaUPC"/>
          <w:sz w:val="30"/>
          <w:szCs w:val="30"/>
          <w:cs/>
        </w:rPr>
        <w:t>ในอัตรา</w:t>
      </w:r>
      <w:bookmarkEnd w:id="15"/>
      <w:r w:rsidR="00F87AAD" w:rsidRPr="00ED00B1">
        <w:rPr>
          <w:rFonts w:ascii="DilleniaUPC" w:hAnsi="DilleniaUPC" w:cs="DilleniaUPC"/>
          <w:sz w:val="30"/>
          <w:szCs w:val="30"/>
          <w:cs/>
        </w:rPr>
        <w:t xml:space="preserve">ไม่น้อยกว่า </w:t>
      </w:r>
      <w:r w:rsidR="00511282" w:rsidRPr="00ED00B1">
        <w:rPr>
          <w:rFonts w:ascii="DilleniaUPC" w:hAnsi="DilleniaUPC" w:cs="DilleniaUPC"/>
          <w:sz w:val="30"/>
          <w:szCs w:val="30"/>
        </w:rPr>
        <w:t>1</w:t>
      </w:r>
      <w:r w:rsidR="00F87AAD" w:rsidRPr="00ED00B1">
        <w:rPr>
          <w:rFonts w:ascii="DilleniaUPC" w:hAnsi="DilleniaUPC" w:cs="DilleniaUPC"/>
          <w:sz w:val="30"/>
          <w:szCs w:val="30"/>
          <w:cs/>
        </w:rPr>
        <w:t>.</w:t>
      </w:r>
      <w:r w:rsidR="00511282" w:rsidRPr="00ED00B1">
        <w:rPr>
          <w:rFonts w:ascii="DilleniaUPC" w:hAnsi="DilleniaUPC" w:cs="DilleniaUPC"/>
          <w:sz w:val="30"/>
          <w:szCs w:val="30"/>
        </w:rPr>
        <w:t>5</w:t>
      </w:r>
      <w:r w:rsidR="00511282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F87AAD" w:rsidRPr="00ED00B1">
        <w:rPr>
          <w:rFonts w:ascii="DilleniaUPC" w:hAnsi="DilleniaUPC" w:cs="DilleniaUPC"/>
          <w:sz w:val="30"/>
          <w:szCs w:val="30"/>
          <w:cs/>
        </w:rPr>
        <w:t xml:space="preserve">เท่าของอัตราตามข้อ </w:t>
      </w:r>
      <w:r w:rsidR="004532FC" w:rsidRPr="00ED00B1">
        <w:rPr>
          <w:rFonts w:ascii="DilleniaUPC" w:hAnsi="DilleniaUPC" w:cs="DilleniaUPC"/>
          <w:sz w:val="30"/>
          <w:szCs w:val="30"/>
        </w:rPr>
        <w:t>7</w:t>
      </w:r>
      <w:r w:rsidR="00F87AAD" w:rsidRPr="00ED00B1">
        <w:rPr>
          <w:rFonts w:ascii="DilleniaUPC" w:hAnsi="DilleniaUPC" w:cs="DilleniaUPC"/>
          <w:sz w:val="30"/>
          <w:szCs w:val="30"/>
          <w:cs/>
        </w:rPr>
        <w:t>.1</w:t>
      </w:r>
      <w:r w:rsidR="00BE51E5" w:rsidRPr="00ED00B1">
        <w:rPr>
          <w:rFonts w:ascii="DilleniaUPC" w:hAnsi="DilleniaUPC" w:cs="DilleniaUPC"/>
          <w:sz w:val="30"/>
          <w:szCs w:val="30"/>
        </w:rPr>
        <w:t xml:space="preserve"> </w:t>
      </w:r>
    </w:p>
    <w:p w14:paraId="24FBBADB" w14:textId="26DE2A59" w:rsidR="00AC6418" w:rsidRPr="00ED00B1" w:rsidRDefault="00AC6418" w:rsidP="00ED244D">
      <w:pPr>
        <w:pStyle w:val="ListParagraph"/>
        <w:widowControl w:val="0"/>
        <w:numPr>
          <w:ilvl w:val="0"/>
          <w:numId w:val="27"/>
        </w:numPr>
        <w:tabs>
          <w:tab w:val="left" w:pos="990"/>
          <w:tab w:val="left" w:pos="1350"/>
          <w:tab w:val="left" w:pos="1560"/>
          <w:tab w:val="left" w:pos="2520"/>
        </w:tabs>
        <w:spacing w:after="0" w:line="240" w:lineRule="auto"/>
        <w:ind w:left="0" w:right="-4" w:firstLine="2160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 xml:space="preserve">กรณีหลักประกันกระจุกตัวมากกว่าร้อยละ </w:t>
      </w:r>
      <w:r w:rsidRPr="00ED00B1">
        <w:rPr>
          <w:rFonts w:ascii="DilleniaUPC" w:hAnsi="DilleniaUPC" w:cs="DilleniaUPC"/>
          <w:sz w:val="30"/>
          <w:szCs w:val="30"/>
        </w:rPr>
        <w:t xml:space="preserve">10 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ของจำนวนหลักทรัพย์ที่เรียกชำระแล้วทั้งหมดของบริษัทที่ออกหลักทรัพย์นั้น ให้ </w:t>
      </w:r>
      <w:r w:rsidRPr="00ED00B1">
        <w:rPr>
          <w:rFonts w:ascii="DilleniaUPC" w:hAnsi="DilleniaUPC" w:cs="DilleniaUPC"/>
          <w:sz w:val="30"/>
          <w:szCs w:val="30"/>
        </w:rPr>
        <w:t xml:space="preserve">haircut 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ในอัตราไม่น้อยกว่า </w:t>
      </w:r>
      <w:r w:rsidRPr="00ED00B1">
        <w:rPr>
          <w:rFonts w:ascii="DilleniaUPC" w:hAnsi="DilleniaUPC" w:cs="DilleniaUPC"/>
          <w:sz w:val="30"/>
          <w:szCs w:val="30"/>
        </w:rPr>
        <w:t xml:space="preserve">3 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เท่าของอัตราตามข้อ </w:t>
      </w:r>
      <w:r w:rsidR="004532FC" w:rsidRPr="00ED00B1">
        <w:rPr>
          <w:rFonts w:ascii="DilleniaUPC" w:hAnsi="DilleniaUPC" w:cs="DilleniaUPC"/>
          <w:sz w:val="30"/>
          <w:szCs w:val="30"/>
        </w:rPr>
        <w:t>7</w:t>
      </w:r>
      <w:r w:rsidRPr="00ED00B1">
        <w:rPr>
          <w:rFonts w:ascii="DilleniaUPC" w:hAnsi="DilleniaUPC" w:cs="DilleniaUPC"/>
          <w:sz w:val="30"/>
          <w:szCs w:val="30"/>
        </w:rPr>
        <w:t>.1</w:t>
      </w:r>
    </w:p>
    <w:p w14:paraId="6127698B" w14:textId="0EED9F9D" w:rsidR="008C26F4" w:rsidRPr="00ED00B1" w:rsidRDefault="00441ACE" w:rsidP="005A5F16">
      <w:pPr>
        <w:pStyle w:val="ListParagraph"/>
        <w:widowControl w:val="0"/>
        <w:tabs>
          <w:tab w:val="left" w:pos="2127"/>
        </w:tabs>
        <w:spacing w:after="0" w:line="240" w:lineRule="auto"/>
        <w:ind w:left="0" w:firstLine="1701"/>
        <w:contextualSpacing w:val="0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Batang" w:hAnsi="DilleniaUPC" w:cs="DilleniaUPC"/>
          <w:sz w:val="30"/>
          <w:szCs w:val="30"/>
          <w:lang w:eastAsia="ko-KR"/>
        </w:rPr>
        <w:t>(3)</w:t>
      </w:r>
      <w:r w:rsidR="00C476FF" w:rsidRPr="00ED00B1">
        <w:rPr>
          <w:rFonts w:ascii="DilleniaUPC" w:hAnsi="DilleniaUPC" w:cs="DilleniaUPC"/>
          <w:sz w:val="30"/>
          <w:szCs w:val="30"/>
        </w:rPr>
        <w:tab/>
      </w:r>
      <w:r w:rsidR="00901060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 xml:space="preserve">ที่ ตลท. กำหนดให้ซื้อขายด้วย </w:t>
      </w:r>
      <w:r w:rsidR="00E20A3A">
        <w:rPr>
          <w:rFonts w:ascii="DilleniaUPC" w:hAnsi="DilleniaUPC" w:cs="DilleniaUPC"/>
          <w:sz w:val="30"/>
          <w:szCs w:val="30"/>
        </w:rPr>
        <w:t>C</w:t>
      </w:r>
      <w:r w:rsidR="00AC6418" w:rsidRPr="00ED00B1">
        <w:rPr>
          <w:rFonts w:ascii="DilleniaUPC" w:hAnsi="DilleniaUPC" w:cs="DilleniaUPC"/>
          <w:sz w:val="30"/>
          <w:szCs w:val="30"/>
        </w:rPr>
        <w:t xml:space="preserve">ash </w:t>
      </w:r>
      <w:r w:rsidR="00E20A3A">
        <w:rPr>
          <w:rFonts w:ascii="DilleniaUPC" w:hAnsi="DilleniaUPC" w:cs="DilleniaUPC"/>
          <w:sz w:val="30"/>
          <w:szCs w:val="30"/>
        </w:rPr>
        <w:t>B</w:t>
      </w:r>
      <w:r w:rsidR="00AC6418" w:rsidRPr="00ED00B1">
        <w:rPr>
          <w:rFonts w:ascii="DilleniaUPC" w:hAnsi="DilleniaUPC" w:cs="DilleniaUPC"/>
          <w:sz w:val="30"/>
          <w:szCs w:val="30"/>
        </w:rPr>
        <w:t xml:space="preserve">alance 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 xml:space="preserve">เท่านั้น เช่น </w:t>
      </w:r>
      <w:r w:rsidR="00AC6418" w:rsidRPr="00ED00B1">
        <w:rPr>
          <w:rFonts w:ascii="DilleniaUPC" w:hAnsi="DilleniaUPC" w:cs="DilleniaUPC"/>
          <w:sz w:val="30"/>
          <w:szCs w:val="30"/>
        </w:rPr>
        <w:t xml:space="preserve">Turnover List Trading Alert 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 xml:space="preserve">ให้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AC6418" w:rsidRPr="00ED00B1">
        <w:rPr>
          <w:rFonts w:ascii="DilleniaUPC" w:hAnsi="DilleniaUPC" w:cs="DilleniaUPC"/>
          <w:sz w:val="30"/>
          <w:szCs w:val="30"/>
        </w:rPr>
        <w:t xml:space="preserve">aircut 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>ทั้งจำนวน</w:t>
      </w:r>
      <w:r w:rsidR="00CD7023" w:rsidRPr="00ED00B1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6C20382A" w14:textId="083DCC0C" w:rsidR="00696A93" w:rsidRPr="00ED00B1" w:rsidRDefault="00696A93" w:rsidP="005A5F16">
      <w:pPr>
        <w:pStyle w:val="ListParagraph"/>
        <w:tabs>
          <w:tab w:val="left" w:pos="2127"/>
        </w:tabs>
        <w:spacing w:after="0" w:line="240" w:lineRule="auto"/>
        <w:ind w:left="0" w:firstLine="1701"/>
        <w:jc w:val="thaiDistribute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hAnsi="DilleniaUPC" w:cs="DilleniaUPC"/>
          <w:sz w:val="30"/>
          <w:szCs w:val="30"/>
        </w:rPr>
        <w:t>(</w:t>
      </w:r>
      <w:r w:rsidR="002E6B2B" w:rsidRPr="00ED00B1">
        <w:rPr>
          <w:rFonts w:ascii="DilleniaUPC" w:hAnsi="DilleniaUPC" w:cs="DilleniaUPC"/>
          <w:sz w:val="30"/>
          <w:szCs w:val="30"/>
        </w:rPr>
        <w:t>4</w:t>
      </w:r>
      <w:r w:rsidRPr="00ED00B1">
        <w:rPr>
          <w:rFonts w:ascii="DilleniaUPC" w:hAnsi="DilleniaUPC" w:cs="DilleniaUPC"/>
          <w:sz w:val="30"/>
          <w:szCs w:val="30"/>
        </w:rPr>
        <w:t>)</w:t>
      </w:r>
      <w:r w:rsidR="00C476FF" w:rsidRPr="00ED00B1">
        <w:rPr>
          <w:rFonts w:ascii="DilleniaUPC" w:hAnsi="DilleniaUPC" w:cs="DilleniaUPC"/>
          <w:sz w:val="30"/>
          <w:szCs w:val="30"/>
        </w:rPr>
        <w:tab/>
      </w:r>
      <w:bookmarkStart w:id="16" w:name="_Hlk170478042"/>
      <w:r w:rsidRPr="00ED00B1">
        <w:rPr>
          <w:rFonts w:ascii="DilleniaUPC" w:hAnsi="DilleniaUPC" w:cs="DilleniaUPC"/>
          <w:sz w:val="30"/>
          <w:szCs w:val="30"/>
          <w:cs/>
        </w:rPr>
        <w:t>หลักทรัพย์ที่ไม่มีสภาพคล่อง</w:t>
      </w:r>
      <w:r w:rsidR="00275C4E" w:rsidRPr="00ED00B1">
        <w:rPr>
          <w:rFonts w:ascii="DilleniaUPC" w:hAnsi="DilleniaUPC" w:cs="DilleniaUPC"/>
          <w:sz w:val="30"/>
          <w:szCs w:val="30"/>
          <w:cs/>
        </w:rPr>
        <w:t>ในการซื้อขาย</w:t>
      </w:r>
      <w:r w:rsidR="005D357B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>หรือ</w:t>
      </w:r>
      <w:r w:rsidR="008F4C46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>ที่</w:t>
      </w:r>
      <w:bookmarkStart w:id="17" w:name="_Hlk170476182"/>
      <w:bookmarkStart w:id="18" w:name="_Hlk170476197"/>
      <w:r w:rsidR="00AC6418" w:rsidRPr="00ED00B1">
        <w:rPr>
          <w:rFonts w:ascii="DilleniaUPC" w:hAnsi="DilleniaUPC" w:cs="DilleniaUPC"/>
          <w:sz w:val="30"/>
          <w:szCs w:val="30"/>
          <w:cs/>
        </w:rPr>
        <w:t xml:space="preserve">เพิ่งถูกปลดจากการห้ามสั่งซื้อหรือขายหลักทรัพย์เป็นการชั่วคราวโดยการขึ้นเครื่องหมาย </w:t>
      </w:r>
      <w:r w:rsidR="00AC6418" w:rsidRPr="00ED00B1">
        <w:rPr>
          <w:rFonts w:ascii="DilleniaUPC" w:hAnsi="DilleniaUPC" w:cs="DilleniaUPC"/>
          <w:sz w:val="30"/>
          <w:szCs w:val="30"/>
        </w:rPr>
        <w:t>SP</w:t>
      </w:r>
      <w:bookmarkEnd w:id="17"/>
      <w:r w:rsidR="00AC6418" w:rsidRPr="00ED00B1">
        <w:rPr>
          <w:rFonts w:ascii="DilleniaUPC" w:hAnsi="DilleniaUPC" w:cs="DilleniaUPC"/>
          <w:sz w:val="30"/>
          <w:szCs w:val="30"/>
        </w:rPr>
        <w:t xml:space="preserve"> </w:t>
      </w:r>
      <w:bookmarkEnd w:id="16"/>
      <w:bookmarkEnd w:id="18"/>
      <w:r w:rsidR="008F4C46" w:rsidRPr="00ED00B1">
        <w:rPr>
          <w:rFonts w:ascii="DilleniaUPC" w:hAnsi="DilleniaUPC" w:cs="DilleniaUPC"/>
          <w:sz w:val="30"/>
          <w:szCs w:val="30"/>
          <w:cs/>
        </w:rPr>
        <w:t xml:space="preserve">ภายในระยะเวลา </w:t>
      </w:r>
      <w:r w:rsidR="00267688" w:rsidRPr="00ED00B1">
        <w:rPr>
          <w:rFonts w:ascii="DilleniaUPC" w:hAnsi="DilleniaUPC" w:cs="DilleniaUPC"/>
          <w:sz w:val="30"/>
          <w:szCs w:val="30"/>
        </w:rPr>
        <w:t>30</w:t>
      </w:r>
      <w:r w:rsidR="008F4C46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267688" w:rsidRPr="00ED00B1">
        <w:rPr>
          <w:rFonts w:ascii="DilleniaUPC" w:hAnsi="DilleniaUPC" w:cs="DilleniaUPC"/>
          <w:sz w:val="30"/>
          <w:szCs w:val="30"/>
          <w:cs/>
        </w:rPr>
        <w:t>วัน</w:t>
      </w:r>
      <w:r w:rsidR="005C096D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D15492" w:rsidRPr="00ED00B1">
        <w:rPr>
          <w:rFonts w:ascii="DilleniaUPC" w:hAnsi="DilleniaUPC" w:cs="DilleniaUPC"/>
          <w:sz w:val="30"/>
          <w:szCs w:val="30"/>
          <w:cs/>
        </w:rPr>
        <w:t>ให้สมาชิก</w:t>
      </w:r>
      <w:r w:rsidR="00670394" w:rsidRPr="00ED00B1">
        <w:rPr>
          <w:rFonts w:ascii="DilleniaUPC" w:hAnsi="DilleniaUPC" w:cs="DilleniaUPC"/>
          <w:sz w:val="30"/>
          <w:szCs w:val="30"/>
          <w:cs/>
        </w:rPr>
        <w:t>ไม่นำมูลค่า</w:t>
      </w:r>
      <w:r w:rsidR="00435A0E" w:rsidRPr="00ED00B1">
        <w:rPr>
          <w:rFonts w:ascii="DilleniaUPC" w:hAnsi="DilleniaUPC" w:cs="DilleniaUPC"/>
          <w:sz w:val="30"/>
          <w:szCs w:val="30"/>
          <w:cs/>
        </w:rPr>
        <w:t>หลักทรัพย์นั้นมาคำนวณอำนาจซื้อ หรือ</w:t>
      </w:r>
      <w:r w:rsidR="00B42938" w:rsidRPr="00ED00B1">
        <w:rPr>
          <w:rFonts w:ascii="DilleniaUPC" w:hAnsi="DilleniaUPC" w:cs="DilleniaUPC"/>
          <w:sz w:val="30"/>
          <w:szCs w:val="30"/>
          <w:cs/>
        </w:rPr>
        <w:t>กำหนดอัตรา</w:t>
      </w:r>
      <w:r w:rsidR="00D15492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="00D15492" w:rsidRPr="00ED00B1">
        <w:rPr>
          <w:rFonts w:ascii="DilleniaUPC" w:hAnsi="DilleniaUPC" w:cs="DilleniaUPC"/>
          <w:sz w:val="30"/>
          <w:szCs w:val="30"/>
        </w:rPr>
        <w:t xml:space="preserve">aircut </w:t>
      </w:r>
      <w:r w:rsidR="00AC6418" w:rsidRPr="00ED00B1">
        <w:rPr>
          <w:rFonts w:ascii="DilleniaUPC" w:hAnsi="DilleniaUPC" w:cs="DilleniaUPC"/>
          <w:sz w:val="30"/>
          <w:szCs w:val="30"/>
          <w:cs/>
        </w:rPr>
        <w:t>ด้วยความระมัดระวัง</w:t>
      </w:r>
      <w:r w:rsidR="00B42938" w:rsidRPr="00ED00B1">
        <w:rPr>
          <w:rFonts w:ascii="DilleniaUPC" w:hAnsi="DilleniaUPC" w:cs="DilleniaUPC"/>
          <w:sz w:val="30"/>
          <w:szCs w:val="30"/>
          <w:cs/>
        </w:rPr>
        <w:t>ตามความเหมาะสม</w:t>
      </w:r>
      <w:r w:rsidR="00BE51E5" w:rsidRPr="00ED00B1">
        <w:rPr>
          <w:rFonts w:ascii="DilleniaUPC" w:hAnsi="DilleniaUPC" w:cs="DilleniaUPC"/>
          <w:sz w:val="30"/>
          <w:szCs w:val="30"/>
        </w:rPr>
        <w:t xml:space="preserve"> </w:t>
      </w:r>
      <w:r w:rsidR="00C27408" w:rsidRPr="00ED00B1">
        <w:rPr>
          <w:rFonts w:ascii="DilleniaUPC" w:hAnsi="DilleniaUPC" w:cs="DilleniaUPC"/>
          <w:sz w:val="30"/>
          <w:szCs w:val="30"/>
          <w:cs/>
        </w:rPr>
        <w:t xml:space="preserve">ทั้งนี้ </w:t>
      </w:r>
      <w:r w:rsidR="00BE51E5" w:rsidRPr="00ED00B1">
        <w:rPr>
          <w:rFonts w:ascii="DilleniaUPC" w:hAnsi="DilleniaUPC" w:cs="DilleniaUPC"/>
          <w:sz w:val="30"/>
          <w:szCs w:val="30"/>
          <w:cs/>
        </w:rPr>
        <w:t>ให้</w:t>
      </w:r>
      <w:r w:rsidR="00C27408" w:rsidRPr="00ED00B1">
        <w:rPr>
          <w:rFonts w:ascii="DilleniaUPC" w:hAnsi="DilleniaUPC" w:cs="DilleniaUPC"/>
          <w:sz w:val="30"/>
          <w:szCs w:val="30"/>
          <w:cs/>
        </w:rPr>
        <w:t>สมาชิก</w:t>
      </w:r>
      <w:r w:rsidR="00BE51E5" w:rsidRPr="00ED00B1">
        <w:rPr>
          <w:rFonts w:ascii="DilleniaUPC" w:hAnsi="DilleniaUPC" w:cs="DilleniaUPC"/>
          <w:sz w:val="30"/>
          <w:szCs w:val="30"/>
          <w:cs/>
        </w:rPr>
        <w:t>พิจารณา</w:t>
      </w:r>
      <w:r w:rsidR="0083509F" w:rsidRPr="00ED00B1">
        <w:rPr>
          <w:rFonts w:ascii="DilleniaUPC" w:hAnsi="DilleniaUPC" w:cs="DilleniaUPC"/>
          <w:sz w:val="30"/>
          <w:szCs w:val="30"/>
        </w:rPr>
        <w:br/>
      </w:r>
      <w:r w:rsidR="00BE51E5" w:rsidRPr="00ED00B1">
        <w:rPr>
          <w:rFonts w:ascii="DilleniaUPC" w:hAnsi="DilleniaUPC" w:cs="DilleniaUPC"/>
          <w:sz w:val="30"/>
          <w:szCs w:val="30"/>
          <w:cs/>
        </w:rPr>
        <w:t>อย่างน้อยเดือนละครั้ง หรือกรณีหลักทรัพย์มีการเปลี่ยนแปลงให้พิจารณาทันที</w:t>
      </w:r>
    </w:p>
    <w:p w14:paraId="37298746" w14:textId="6374A684" w:rsidR="00FA4B49" w:rsidRPr="00ED00B1" w:rsidRDefault="00FA4B49" w:rsidP="005A5F16">
      <w:pPr>
        <w:pStyle w:val="ListParagraph"/>
        <w:spacing w:after="0" w:line="240" w:lineRule="auto"/>
        <w:ind w:left="0" w:firstLine="1701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 xml:space="preserve">ให้สมาชิกกำหนดหลักเกณฑ์ในการ </w:t>
      </w:r>
      <w:r w:rsidR="00E20A3A">
        <w:rPr>
          <w:rFonts w:ascii="DilleniaUPC" w:hAnsi="DilleniaUPC" w:cs="DilleniaUPC"/>
          <w:sz w:val="30"/>
          <w:szCs w:val="30"/>
        </w:rPr>
        <w:t>H</w:t>
      </w:r>
      <w:r w:rsidRPr="00ED00B1">
        <w:rPr>
          <w:rFonts w:ascii="DilleniaUPC" w:hAnsi="DilleniaUPC" w:cs="DilleniaUPC"/>
          <w:sz w:val="30"/>
          <w:szCs w:val="30"/>
        </w:rPr>
        <w:t xml:space="preserve">aircut </w:t>
      </w:r>
      <w:r w:rsidRPr="00ED00B1">
        <w:rPr>
          <w:rFonts w:ascii="DilleniaUPC" w:hAnsi="DilleniaUPC" w:cs="DilleniaUPC"/>
          <w:sz w:val="30"/>
          <w:szCs w:val="30"/>
          <w:cs/>
        </w:rPr>
        <w:t xml:space="preserve">มูลค่าของหลักทรัพย์ที่ใช้กับลูกค้าเป็นการทั่วไป </w:t>
      </w:r>
      <w:r w:rsidRPr="00ED00B1">
        <w:rPr>
          <w:rFonts w:ascii="DilleniaUPC" w:hAnsi="DilleniaUPC" w:cs="DilleniaUPC"/>
          <w:sz w:val="30"/>
          <w:szCs w:val="30"/>
          <w:cs/>
        </w:rPr>
        <w:br/>
        <w:t>เป็นลายลักษณ์อักษร</w:t>
      </w:r>
    </w:p>
    <w:p w14:paraId="7DBC5393" w14:textId="6EDE54D1" w:rsidR="0004757E" w:rsidRPr="00ED00B1" w:rsidRDefault="0004757E" w:rsidP="00C2095F">
      <w:pPr>
        <w:pStyle w:val="ListParagraph"/>
        <w:tabs>
          <w:tab w:val="left" w:pos="1701"/>
        </w:tabs>
        <w:spacing w:after="0" w:line="240" w:lineRule="auto"/>
        <w:ind w:left="0" w:firstLine="1276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</w:rPr>
        <w:lastRenderedPageBreak/>
        <w:t>7.3</w:t>
      </w:r>
      <w:r w:rsidR="00C2095F">
        <w:rPr>
          <w:rFonts w:ascii="DilleniaUPC" w:hAnsi="DilleniaUPC" w:cs="DilleniaUPC"/>
          <w:sz w:val="30"/>
          <w:szCs w:val="30"/>
        </w:rPr>
        <w:tab/>
      </w:r>
      <w:r w:rsidR="006879DA" w:rsidRPr="00ED00B1">
        <w:rPr>
          <w:rFonts w:ascii="DilleniaUPC" w:hAnsi="DilleniaUPC" w:cs="DilleniaUPC"/>
          <w:sz w:val="30"/>
          <w:szCs w:val="30"/>
          <w:cs/>
        </w:rPr>
        <w:t>กรณีที่สมาชิกเห็นว่าหลักทรัพย์ที่ลูกค้า</w:t>
      </w:r>
      <w:r w:rsidR="005446F7" w:rsidRPr="00ED00B1">
        <w:rPr>
          <w:rFonts w:ascii="DilleniaUPC" w:hAnsi="DilleniaUPC" w:cs="DilleniaUPC" w:hint="cs"/>
          <w:sz w:val="30"/>
          <w:szCs w:val="30"/>
          <w:cs/>
        </w:rPr>
        <w:t>ส่งคำสั่ง</w:t>
      </w:r>
      <w:r w:rsidR="006879DA" w:rsidRPr="00ED00B1">
        <w:rPr>
          <w:rFonts w:ascii="DilleniaUPC" w:hAnsi="DilleniaUPC" w:cs="DilleniaUPC"/>
          <w:sz w:val="30"/>
          <w:szCs w:val="30"/>
          <w:cs/>
        </w:rPr>
        <w:t>ซื้อขาย</w:t>
      </w:r>
      <w:r w:rsidR="00F818BE" w:rsidRPr="00ED00B1">
        <w:rPr>
          <w:rFonts w:ascii="DilleniaUPC" w:hAnsi="DilleniaUPC" w:cs="DilleniaUPC"/>
          <w:sz w:val="30"/>
          <w:szCs w:val="30"/>
          <w:cs/>
        </w:rPr>
        <w:t xml:space="preserve"> </w:t>
      </w:r>
      <w:r w:rsidR="006879DA" w:rsidRPr="00ED00B1">
        <w:rPr>
          <w:rFonts w:ascii="DilleniaUPC" w:hAnsi="DilleniaUPC" w:cs="DilleniaUPC"/>
          <w:sz w:val="30"/>
          <w:szCs w:val="30"/>
          <w:cs/>
        </w:rPr>
        <w:t>หรือซื้อขายแล้วและยังไม่ได้ชำระราคาหรือ</w:t>
      </w:r>
      <w:r w:rsidR="00681EA6" w:rsidRPr="00ED00B1">
        <w:rPr>
          <w:rFonts w:ascii="DilleniaUPC" w:hAnsi="DilleniaUPC" w:cs="DilleniaUPC"/>
          <w:sz w:val="30"/>
          <w:szCs w:val="30"/>
          <w:cs/>
        </w:rPr>
        <w:br/>
      </w:r>
      <w:r w:rsidR="006879DA" w:rsidRPr="00ED00B1">
        <w:rPr>
          <w:rFonts w:ascii="DilleniaUPC" w:hAnsi="DilleniaUPC" w:cs="DilleniaUPC"/>
          <w:sz w:val="30"/>
          <w:szCs w:val="30"/>
          <w:cs/>
        </w:rPr>
        <w:t>ส่งมอบ</w:t>
      </w:r>
      <w:r w:rsidR="00C33AAA" w:rsidRPr="00ED00B1">
        <w:rPr>
          <w:rFonts w:ascii="DilleniaUPC" w:hAnsi="DilleniaUPC" w:cs="DilleniaUPC"/>
          <w:spacing w:val="-4"/>
          <w:sz w:val="30"/>
          <w:szCs w:val="30"/>
          <w:cs/>
        </w:rPr>
        <w:t>ในบัญชีเงิ</w:t>
      </w:r>
      <w:r w:rsidR="00201CD6" w:rsidRPr="00ED00B1">
        <w:rPr>
          <w:rFonts w:ascii="DilleniaUPC" w:hAnsi="DilleniaUPC" w:cs="DilleniaUPC"/>
          <w:spacing w:val="-4"/>
          <w:sz w:val="30"/>
          <w:szCs w:val="30"/>
          <w:cs/>
        </w:rPr>
        <w:t>นสด</w:t>
      </w:r>
      <w:r w:rsidR="006879DA" w:rsidRPr="00ED00B1">
        <w:rPr>
          <w:rFonts w:ascii="DilleniaUPC" w:hAnsi="DilleniaUPC" w:cs="DilleniaUPC"/>
          <w:spacing w:val="-4"/>
          <w:sz w:val="30"/>
          <w:szCs w:val="30"/>
          <w:cs/>
        </w:rPr>
        <w:t>มีความเสี่ยงสูงขึ้น หรือมีความผิดปกติในการซื้อขาย สมาชิกอาจ</w:t>
      </w:r>
      <w:r w:rsidR="00455224" w:rsidRPr="00ED00B1">
        <w:rPr>
          <w:rFonts w:ascii="DilleniaUPC" w:hAnsi="DilleniaUPC" w:cs="DilleniaUPC" w:hint="cs"/>
          <w:spacing w:val="-4"/>
          <w:sz w:val="30"/>
          <w:szCs w:val="30"/>
          <w:cs/>
        </w:rPr>
        <w:t>พิจารณา</w:t>
      </w:r>
      <w:r w:rsidR="00F20CA6" w:rsidRPr="00ED00B1">
        <w:rPr>
          <w:rFonts w:ascii="DilleniaUPC" w:hAnsi="DilleniaUPC" w:cs="DilleniaUPC"/>
          <w:spacing w:val="-4"/>
          <w:sz w:val="30"/>
          <w:szCs w:val="30"/>
          <w:cs/>
        </w:rPr>
        <w:t>เรียกหลักประกันเพิ่มเติม</w:t>
      </w:r>
      <w:r w:rsidR="00B46B92" w:rsidRPr="00ED00B1">
        <w:rPr>
          <w:rFonts w:ascii="DilleniaUPC" w:hAnsi="DilleniaUPC" w:cs="DilleniaUPC"/>
          <w:spacing w:val="-4"/>
          <w:sz w:val="30"/>
          <w:szCs w:val="30"/>
          <w:cs/>
        </w:rPr>
        <w:t>หรือ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 xml:space="preserve"> </w:t>
      </w:r>
      <w:r w:rsidR="00C35F7A" w:rsidRPr="00ED00B1">
        <w:rPr>
          <w:rFonts w:ascii="DilleniaUPC" w:hAnsi="DilleniaUPC" w:cs="DilleniaUPC"/>
          <w:spacing w:val="-4"/>
          <w:sz w:val="30"/>
          <w:szCs w:val="30"/>
        </w:rPr>
        <w:t xml:space="preserve">haircut 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>หลัก</w:t>
      </w:r>
      <w:r w:rsidR="00E63AA2" w:rsidRPr="00ED00B1">
        <w:rPr>
          <w:rFonts w:ascii="DilleniaUPC" w:hAnsi="DilleniaUPC" w:cs="DilleniaUPC" w:hint="cs"/>
          <w:spacing w:val="-4"/>
          <w:sz w:val="30"/>
          <w:szCs w:val="30"/>
          <w:cs/>
        </w:rPr>
        <w:t>ประกัน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>เพิ่มขึ้นจากอัตรา</w:t>
      </w:r>
      <w:r w:rsidR="00C35F7A" w:rsidRPr="00ED00B1">
        <w:rPr>
          <w:rFonts w:ascii="DilleniaUPC" w:hAnsi="DilleniaUPC" w:cs="DilleniaUPC" w:hint="cs"/>
          <w:spacing w:val="-4"/>
          <w:sz w:val="30"/>
          <w:szCs w:val="30"/>
          <w:cs/>
        </w:rPr>
        <w:t>ตามข้อ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 xml:space="preserve"> </w:t>
      </w:r>
      <w:r w:rsidR="00C35F7A" w:rsidRPr="00ED00B1">
        <w:rPr>
          <w:rFonts w:ascii="DilleniaUPC" w:hAnsi="DilleniaUPC" w:cs="DilleniaUPC"/>
          <w:spacing w:val="-4"/>
          <w:sz w:val="30"/>
          <w:szCs w:val="30"/>
        </w:rPr>
        <w:t>7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>.</w:t>
      </w:r>
      <w:r w:rsidR="00C35F7A" w:rsidRPr="00ED00B1">
        <w:rPr>
          <w:rFonts w:ascii="DilleniaUPC" w:hAnsi="DilleniaUPC" w:cs="DilleniaUPC"/>
          <w:spacing w:val="-4"/>
          <w:sz w:val="30"/>
          <w:szCs w:val="30"/>
        </w:rPr>
        <w:t>1</w:t>
      </w:r>
      <w:r w:rsidR="00C35F7A" w:rsidRPr="00ED00B1">
        <w:rPr>
          <w:rFonts w:ascii="DilleniaUPC" w:hAnsi="DilleniaUPC" w:cs="DilleniaUPC"/>
          <w:spacing w:val="-4"/>
          <w:sz w:val="30"/>
          <w:szCs w:val="30"/>
          <w:cs/>
        </w:rPr>
        <w:t xml:space="preserve"> </w:t>
      </w:r>
      <w:r w:rsidR="008D3E27" w:rsidRPr="00ED00B1">
        <w:rPr>
          <w:rFonts w:ascii="DilleniaUPC" w:hAnsi="DilleniaUPC" w:cs="DilleniaUPC" w:hint="cs"/>
          <w:spacing w:val="-4"/>
          <w:sz w:val="30"/>
          <w:szCs w:val="30"/>
          <w:cs/>
        </w:rPr>
        <w:t>เพื่อ</w:t>
      </w:r>
      <w:r w:rsidR="006879DA" w:rsidRPr="00ED00B1">
        <w:rPr>
          <w:rFonts w:ascii="DilleniaUPC" w:hAnsi="DilleniaUPC" w:cs="DilleniaUPC"/>
          <w:spacing w:val="-4"/>
          <w:sz w:val="30"/>
          <w:szCs w:val="30"/>
          <w:cs/>
        </w:rPr>
        <w:t>ลด</w:t>
      </w:r>
      <w:r w:rsidR="00966828" w:rsidRPr="00ED00B1">
        <w:rPr>
          <w:rFonts w:ascii="DilleniaUPC" w:hAnsi="DilleniaUPC" w:cs="DilleniaUPC"/>
          <w:spacing w:val="-4"/>
          <w:sz w:val="30"/>
          <w:szCs w:val="30"/>
          <w:cs/>
        </w:rPr>
        <w:t>อำนาจ</w:t>
      </w:r>
      <w:r w:rsidRPr="00ED00B1">
        <w:rPr>
          <w:rFonts w:ascii="DilleniaUPC" w:hAnsi="DilleniaUPC" w:cs="DilleniaUPC"/>
          <w:spacing w:val="-4"/>
          <w:sz w:val="30"/>
          <w:szCs w:val="30"/>
          <w:cs/>
        </w:rPr>
        <w:t>ซื้อ</w:t>
      </w:r>
      <w:r w:rsidR="00966828" w:rsidRPr="00ED00B1">
        <w:rPr>
          <w:rFonts w:ascii="DilleniaUPC" w:hAnsi="DilleniaUPC" w:cs="DilleniaUPC" w:hint="cs"/>
          <w:sz w:val="30"/>
          <w:szCs w:val="30"/>
          <w:cs/>
        </w:rPr>
        <w:t>ของลูกค้า</w:t>
      </w:r>
    </w:p>
    <w:p w14:paraId="481438F9" w14:textId="4AC0A17E" w:rsidR="000771D2" w:rsidRPr="00ED00B1" w:rsidRDefault="004532FC" w:rsidP="00E40B05">
      <w:pPr>
        <w:pStyle w:val="ListParagraph"/>
        <w:spacing w:after="0" w:line="240" w:lineRule="auto"/>
        <w:ind w:left="1604" w:hanging="328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hAnsi="DilleniaUPC" w:cs="DilleniaUPC"/>
          <w:sz w:val="30"/>
          <w:szCs w:val="30"/>
        </w:rPr>
        <w:t>7</w:t>
      </w:r>
      <w:r w:rsidR="003F23FE" w:rsidRPr="00ED00B1">
        <w:rPr>
          <w:rFonts w:ascii="DilleniaUPC" w:hAnsi="DilleniaUPC" w:cs="DilleniaUPC"/>
          <w:sz w:val="30"/>
          <w:szCs w:val="30"/>
        </w:rPr>
        <w:t>.</w:t>
      </w:r>
      <w:r w:rsidR="0004757E" w:rsidRPr="00ED00B1">
        <w:rPr>
          <w:rFonts w:ascii="DilleniaUPC" w:hAnsi="DilleniaUPC" w:cs="DilleniaUPC"/>
          <w:sz w:val="30"/>
          <w:szCs w:val="30"/>
        </w:rPr>
        <w:t>4</w:t>
      </w:r>
      <w:r w:rsidR="00D06FCA" w:rsidRPr="00ED00B1">
        <w:rPr>
          <w:rFonts w:ascii="DilleniaUPC" w:hAnsi="DilleniaUPC" w:cs="DilleniaUPC"/>
          <w:sz w:val="30"/>
          <w:szCs w:val="30"/>
        </w:rPr>
        <w:tab/>
      </w:r>
      <w:r w:rsidR="0004757E" w:rsidRPr="00ED00B1">
        <w:rPr>
          <w:rFonts w:ascii="DilleniaUPC" w:hAnsi="DilleniaUPC" w:cs="DilleniaUPC"/>
          <w:sz w:val="30"/>
          <w:szCs w:val="30"/>
        </w:rPr>
        <w:t xml:space="preserve"> </w:t>
      </w:r>
      <w:r w:rsidR="000771D2" w:rsidRPr="00ED00B1">
        <w:rPr>
          <w:rFonts w:ascii="DilleniaUPC" w:hAnsi="DilleniaUPC" w:cs="DilleniaUPC"/>
          <w:sz w:val="30"/>
          <w:szCs w:val="30"/>
          <w:cs/>
        </w:rPr>
        <w:t>การคำนวณมูลค่า</w:t>
      </w:r>
      <w:r w:rsidR="00AD7864" w:rsidRPr="00ED00B1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="00C762B8" w:rsidRPr="00ED00B1">
        <w:rPr>
          <w:rFonts w:ascii="DilleniaUPC" w:hAnsi="DilleniaUPC" w:cs="DilleniaUPC"/>
          <w:sz w:val="30"/>
          <w:szCs w:val="30"/>
          <w:cs/>
        </w:rPr>
        <w:t>ที่มีภาระผูกพัน</w:t>
      </w:r>
    </w:p>
    <w:p w14:paraId="60510B6E" w14:textId="5F247E5C" w:rsidR="00923183" w:rsidRPr="00ED00B1" w:rsidRDefault="00CA6959" w:rsidP="005A5F16">
      <w:pPr>
        <w:widowControl w:val="0"/>
        <w:tabs>
          <w:tab w:val="left" w:pos="1260"/>
        </w:tabs>
        <w:ind w:firstLine="1701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หลักทรัพย์ที่อยู่ในบัญชี </w:t>
      </w:r>
      <w:r w:rsidR="00E20A3A">
        <w:rPr>
          <w:rFonts w:ascii="DilleniaUPC" w:eastAsia="Calibri" w:hAnsi="DilleniaUPC" w:cs="DilleniaUPC"/>
          <w:sz w:val="30"/>
          <w:szCs w:val="30"/>
        </w:rPr>
        <w:t>C</w:t>
      </w:r>
      <w:r w:rsidR="00672884" w:rsidRPr="00ED00B1">
        <w:rPr>
          <w:rFonts w:ascii="DilleniaUPC" w:eastAsia="Calibri" w:hAnsi="DilleniaUPC" w:cs="DilleniaUPC"/>
          <w:sz w:val="30"/>
          <w:szCs w:val="30"/>
        </w:rPr>
        <w:t xml:space="preserve">redit </w:t>
      </w:r>
      <w:r w:rsidR="00E20A3A">
        <w:rPr>
          <w:rFonts w:ascii="DilleniaUPC" w:eastAsia="Calibri" w:hAnsi="DilleniaUPC" w:cs="DilleniaUPC"/>
          <w:sz w:val="30"/>
          <w:szCs w:val="30"/>
        </w:rPr>
        <w:t>B</w:t>
      </w:r>
      <w:r w:rsidR="00672884" w:rsidRPr="00ED00B1">
        <w:rPr>
          <w:rFonts w:ascii="DilleniaUPC" w:eastAsia="Calibri" w:hAnsi="DilleniaUPC" w:cs="DilleniaUPC"/>
          <w:sz w:val="30"/>
          <w:szCs w:val="30"/>
        </w:rPr>
        <w:t xml:space="preserve">alance </w:t>
      </w:r>
      <w:r w:rsidR="00554FE8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สมาชิกพิจารณาเฉพาะมูลค่าที่ปลอดภาระผูกพัน กล่าวคือ ยอดทรัพย์สินลบด้วยหนี้สิน หรือ </w:t>
      </w:r>
      <w:r w:rsidR="00E20A3A">
        <w:rPr>
          <w:rFonts w:ascii="DilleniaUPC" w:eastAsia="Calibri" w:hAnsi="DilleniaUPC" w:cs="DilleniaUPC"/>
          <w:sz w:val="30"/>
          <w:szCs w:val="30"/>
        </w:rPr>
        <w:t>E</w:t>
      </w:r>
      <w:r w:rsidR="00672884" w:rsidRPr="00ED00B1">
        <w:rPr>
          <w:rFonts w:ascii="DilleniaUPC" w:eastAsia="Calibri" w:hAnsi="DilleniaUPC" w:cs="DilleniaUPC"/>
          <w:sz w:val="30"/>
          <w:szCs w:val="30"/>
        </w:rPr>
        <w:t xml:space="preserve">quity </w:t>
      </w:r>
      <w:r w:rsidR="00E20A3A">
        <w:rPr>
          <w:rFonts w:ascii="DilleniaUPC" w:eastAsia="Calibri" w:hAnsi="DilleniaUPC" w:cs="DilleniaUPC"/>
          <w:sz w:val="30"/>
          <w:szCs w:val="30"/>
        </w:rPr>
        <w:t>B</w:t>
      </w:r>
      <w:r w:rsidR="00672884" w:rsidRPr="00ED00B1">
        <w:rPr>
          <w:rFonts w:ascii="DilleniaUPC" w:eastAsia="Calibri" w:hAnsi="DilleniaUPC" w:cs="DilleniaUPC"/>
          <w:sz w:val="30"/>
          <w:szCs w:val="30"/>
        </w:rPr>
        <w:t>alance</w:t>
      </w:r>
      <w:r w:rsidR="00672884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เพื่อนำมาประกอบการพิจารณากำหนดวงเงินเท่านั้น</w:t>
      </w:r>
      <w:r w:rsidR="00672884" w:rsidRPr="00ED00B1">
        <w:rPr>
          <w:rFonts w:ascii="DilleniaUPC" w:eastAsia="Calibri" w:hAnsi="DilleniaUPC" w:cs="DilleniaUPC"/>
          <w:sz w:val="30"/>
          <w:szCs w:val="30"/>
        </w:rPr>
        <w:br/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 xml:space="preserve">ตามระเบียบของสมาชิก </w:t>
      </w:r>
    </w:p>
    <w:p w14:paraId="6090F0D1" w14:textId="7785901C" w:rsidR="00923183" w:rsidRPr="00ED00B1" w:rsidRDefault="005571B8" w:rsidP="005A5F16">
      <w:pPr>
        <w:widowControl w:val="0"/>
        <w:tabs>
          <w:tab w:val="left" w:pos="1276"/>
          <w:tab w:val="left" w:pos="1800"/>
        </w:tabs>
        <w:spacing w:before="12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532FC" w:rsidRPr="00ED00B1">
        <w:rPr>
          <w:rFonts w:ascii="DilleniaUPC" w:eastAsia="Calibri" w:hAnsi="DilleniaUPC" w:cs="DilleniaUPC"/>
          <w:sz w:val="30"/>
          <w:szCs w:val="30"/>
          <w:lang w:eastAsia="en-US"/>
        </w:rPr>
        <w:t>8</w:t>
      </w:r>
      <w:r w:rsidR="00A45B9A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ขั้นตอนการพิจารณาและผู้มีอำนาจในการอนุมัติวงเงิน </w:t>
      </w:r>
    </w:p>
    <w:p w14:paraId="33735E04" w14:textId="16A35EB1" w:rsidR="00923183" w:rsidRPr="00ED00B1" w:rsidRDefault="00487226" w:rsidP="005A5F16">
      <w:pPr>
        <w:widowControl w:val="0"/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ให้</w:t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>สมาชิก</w:t>
      </w:r>
      <w:r w:rsidRPr="00ED00B1">
        <w:rPr>
          <w:rFonts w:ascii="DilleniaUPC" w:eastAsia="Cordia New" w:hAnsi="DilleniaUPC" w:cs="DilleniaUPC" w:hint="cs"/>
          <w:sz w:val="30"/>
          <w:szCs w:val="30"/>
          <w:cs/>
        </w:rPr>
        <w:t>จัดให้มีกระบวนการ</w:t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>พิจารณา</w:t>
      </w:r>
      <w:r w:rsidR="00D319AE" w:rsidRPr="00ED00B1">
        <w:rPr>
          <w:rFonts w:ascii="DilleniaUPC" w:eastAsia="Cordia New" w:hAnsi="DilleniaUPC" w:cs="DilleniaUPC"/>
          <w:sz w:val="30"/>
          <w:szCs w:val="30"/>
          <w:cs/>
        </w:rPr>
        <w:t>และอนุมัติวงเงิน</w:t>
      </w:r>
      <w:r w:rsidR="00D319AE" w:rsidRPr="00ED00B1">
        <w:rPr>
          <w:rFonts w:ascii="DilleniaUPC" w:eastAsia="Cordia New" w:hAnsi="DilleniaUPC" w:cs="DilleniaUPC" w:hint="cs"/>
          <w:sz w:val="30"/>
          <w:szCs w:val="30"/>
          <w:cs/>
        </w:rPr>
        <w:t>ว</w:t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>งเงินซื้อขายหลักทรัพย์ที่รัดกุมและรอบคอบ</w:t>
      </w:r>
      <w:r w:rsidR="00FA2E75" w:rsidRPr="00ED00B1">
        <w:rPr>
          <w:rFonts w:ascii="DilleniaUPC" w:eastAsia="Cordia New" w:hAnsi="DilleniaUPC" w:cs="DilleniaUPC" w:hint="cs"/>
          <w:sz w:val="30"/>
          <w:szCs w:val="30"/>
          <w:cs/>
        </w:rPr>
        <w:t xml:space="preserve"> อย่างน้อย </w:t>
      </w:r>
      <w:r w:rsidR="00923183" w:rsidRPr="00ED00B1">
        <w:rPr>
          <w:rFonts w:ascii="DilleniaUPC" w:eastAsia="Cordia New" w:hAnsi="DilleniaUPC" w:cs="DilleniaUPC"/>
          <w:sz w:val="30"/>
          <w:szCs w:val="30"/>
          <w:cs/>
        </w:rPr>
        <w:t>ดังนี้</w:t>
      </w:r>
    </w:p>
    <w:p w14:paraId="02441AF9" w14:textId="14AB0B3D" w:rsidR="005927DF" w:rsidRPr="00ED00B1" w:rsidRDefault="004532FC" w:rsidP="005A5F16">
      <w:pPr>
        <w:widowControl w:val="0"/>
        <w:tabs>
          <w:tab w:val="left" w:pos="1701"/>
        </w:tabs>
        <w:ind w:firstLine="126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1</w:t>
      </w:r>
      <w:r w:rsidR="00D06FCA" w:rsidRPr="00ED00B1">
        <w:rPr>
          <w:rFonts w:ascii="DilleniaUPC" w:eastAsia="Calibri" w:hAnsi="DilleniaUPC" w:cs="DilleniaUPC"/>
          <w:sz w:val="30"/>
          <w:szCs w:val="30"/>
        </w:rPr>
        <w:tab/>
      </w:r>
      <w:r w:rsidR="00144512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สมาชิกกำหนดผู้มีอำนาจอนุมัติวงเงินในแต่ละลำดับชั้นไว้ให้ชัดเจน และในกรณีที่เป็นการอนุมัติวงเงินจำนวนสูง </w:t>
      </w:r>
      <w:r w:rsidR="00D015D5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สมาชิกเพิ่มความรัดกุมในการพิจารณามากยิ่งขึ้น เช่น ควรผ่านการพิจารณาของบุคคลหรือคณะบุคคล</w:t>
      </w:r>
      <w:r w:rsidR="005C096D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923183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ที่คณะกรรมการบริษัทมอบอำนาจอนุมัติ คณะกรรมการพิจารณาวงเงิน (</w:t>
      </w:r>
      <w:r w:rsidR="00E20A3A">
        <w:rPr>
          <w:rFonts w:ascii="DilleniaUPC" w:eastAsia="Calibri" w:hAnsi="DilleniaUPC" w:cs="DilleniaUPC"/>
          <w:spacing w:val="-6"/>
          <w:sz w:val="30"/>
          <w:szCs w:val="30"/>
        </w:rPr>
        <w:t>C</w:t>
      </w:r>
      <w:r w:rsidR="00923183" w:rsidRPr="00ED00B1">
        <w:rPr>
          <w:rFonts w:ascii="DilleniaUPC" w:eastAsia="Calibri" w:hAnsi="DilleniaUPC" w:cs="DilleniaUPC"/>
          <w:spacing w:val="-6"/>
          <w:sz w:val="30"/>
          <w:szCs w:val="30"/>
        </w:rPr>
        <w:t xml:space="preserve">redit </w:t>
      </w:r>
      <w:r w:rsidR="00E20A3A">
        <w:rPr>
          <w:rFonts w:ascii="DilleniaUPC" w:eastAsia="Calibri" w:hAnsi="DilleniaUPC" w:cs="DilleniaUPC"/>
          <w:spacing w:val="-6"/>
          <w:sz w:val="30"/>
          <w:szCs w:val="30"/>
        </w:rPr>
        <w:t>C</w:t>
      </w:r>
      <w:r w:rsidR="00923183" w:rsidRPr="00ED00B1">
        <w:rPr>
          <w:rFonts w:ascii="DilleniaUPC" w:eastAsia="Calibri" w:hAnsi="DilleniaUPC" w:cs="DilleniaUPC"/>
          <w:spacing w:val="-6"/>
          <w:sz w:val="30"/>
          <w:szCs w:val="30"/>
        </w:rPr>
        <w:t>ommittee</w:t>
      </w:r>
      <w:r w:rsidR="00923183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) หรือคณะกรรมการบริษัท เป็นต้น</w:t>
      </w:r>
    </w:p>
    <w:p w14:paraId="2FD748FE" w14:textId="1F034516" w:rsidR="005927DF" w:rsidRPr="00ED00B1" w:rsidRDefault="004532FC" w:rsidP="005A5F16">
      <w:pPr>
        <w:widowControl w:val="0"/>
        <w:tabs>
          <w:tab w:val="left" w:pos="1701"/>
        </w:tabs>
        <w:ind w:firstLine="126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2</w:t>
      </w:r>
      <w:r w:rsidR="00D06FCA" w:rsidRPr="00ED00B1">
        <w:rPr>
          <w:rFonts w:ascii="DilleniaUPC" w:eastAsia="Calibri" w:hAnsi="DilleniaUPC" w:cs="DilleniaUPC"/>
          <w:sz w:val="30"/>
          <w:szCs w:val="30"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ในการขออนุมัติและการอนุมัติวงเงิน </w:t>
      </w:r>
      <w:r w:rsidR="00EF2D70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ผู้ขออนุมัติและผู้อนุมัติจัดทำบันทึกความเห็นและเหตุผลประกอบการพิจารณาที่ชัดเจนในทุกขั้นตอนของการพิจารณาวงเงิน เช่น เจ้าหน้าที่การตลาด ผู้บังคับบัญชาของเจ้าหน้าที่การตลาด ผู้อนุมัติวงเงินตามลำดับชั้น และในกรณีผู้ที่เกี่ยวข้องมีความเห็นไม่สอดคล้องกัน ควรจะบันทึกความเห็นดังกล่าวให้ชัดเจนด้วย</w:t>
      </w:r>
    </w:p>
    <w:p w14:paraId="2C9C8C96" w14:textId="1A669E8C" w:rsidR="00923183" w:rsidRPr="00ED00B1" w:rsidRDefault="004532FC" w:rsidP="005A5F16">
      <w:pPr>
        <w:widowControl w:val="0"/>
        <w:tabs>
          <w:tab w:val="left" w:pos="1701"/>
        </w:tabs>
        <w:ind w:firstLine="126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3</w:t>
      </w:r>
      <w:r w:rsidR="00D06FCA" w:rsidRPr="00ED00B1">
        <w:rPr>
          <w:rFonts w:ascii="DilleniaUPC" w:eastAsia="Calibri" w:hAnsi="DilleniaUPC" w:cs="DilleniaUPC"/>
          <w:sz w:val="30"/>
          <w:szCs w:val="30"/>
        </w:rPr>
        <w:tab/>
      </w:r>
      <w:r w:rsidR="00EF2D70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ผู้อนุมัติวงเงินพิจารณาอนุมัติตามหลักเกณฑ์ที่สมาชิกกำหนด ในกรณีวงเงินที่ขออนุมัติสูงกว่าเกณฑ์ที่กำหนด </w:t>
      </w:r>
      <w:r w:rsidR="00EF2D70" w:rsidRPr="00ED00B1">
        <w:rPr>
          <w:rFonts w:ascii="DilleniaUPC" w:eastAsia="Calibri" w:hAnsi="DilleniaUPC" w:cs="DilleniaUPC" w:hint="cs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สมาชิกมีขั้นตอนดำเนินการเพิ่มเติม</w:t>
      </w:r>
      <w:r w:rsidR="00B251C2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ดังนี้</w:t>
      </w:r>
      <w:r w:rsidR="00284EF6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284EF6" w:rsidRPr="00ED00B1">
        <w:rPr>
          <w:rFonts w:ascii="DilleniaUPC" w:eastAsia="Calibri" w:hAnsi="DilleniaUPC" w:cs="DilleniaUPC"/>
          <w:sz w:val="30"/>
          <w:szCs w:val="30"/>
          <w:cs/>
        </w:rPr>
        <w:t>โดยให้ระบุเหตุผล</w:t>
      </w:r>
      <w:r w:rsidR="00B02CD0" w:rsidRPr="00ED00B1">
        <w:rPr>
          <w:rFonts w:ascii="DilleniaUPC" w:eastAsia="Calibri" w:hAnsi="DilleniaUPC" w:cs="DilleniaUPC"/>
          <w:sz w:val="30"/>
          <w:szCs w:val="30"/>
          <w:cs/>
        </w:rPr>
        <w:t>ที่ชัดเจน</w:t>
      </w:r>
      <w:r w:rsidR="00284EF6" w:rsidRPr="00ED00B1">
        <w:rPr>
          <w:rFonts w:ascii="DilleniaUPC" w:eastAsia="Calibri" w:hAnsi="DilleniaUPC" w:cs="DilleniaUPC"/>
          <w:sz w:val="30"/>
          <w:szCs w:val="30"/>
          <w:cs/>
        </w:rPr>
        <w:t>ในการขออนุมัติ</w:t>
      </w:r>
      <w:r w:rsidR="00D0005D" w:rsidRPr="00ED00B1">
        <w:rPr>
          <w:rFonts w:ascii="DilleniaUPC" w:eastAsia="Calibri" w:hAnsi="DilleniaUPC" w:cs="DilleniaUPC"/>
          <w:sz w:val="30"/>
          <w:szCs w:val="30"/>
          <w:cs/>
        </w:rPr>
        <w:t>ในทุกกรณี</w:t>
      </w:r>
    </w:p>
    <w:p w14:paraId="0CCA32A8" w14:textId="5B7E1AF5" w:rsidR="00923183" w:rsidRPr="00ED00B1" w:rsidRDefault="004532FC" w:rsidP="005A5F16">
      <w:pPr>
        <w:widowControl w:val="0"/>
        <w:tabs>
          <w:tab w:val="left" w:pos="-720"/>
          <w:tab w:val="left" w:pos="0"/>
          <w:tab w:val="left" w:pos="2268"/>
        </w:tabs>
        <w:autoSpaceDE w:val="0"/>
        <w:autoSpaceDN w:val="0"/>
        <w:adjustRightInd w:val="0"/>
        <w:ind w:firstLine="1701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3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1</w:t>
      </w:r>
      <w:r w:rsidR="00C476FF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กรณีวงเงินที่ขออนุมัติอยู่ในข่ายที่บุคคลหรือคณะบุคคลที่คณะกรรมการบริษัทมอบอำนาจอนุมัติไว้ตามลำดับชั้นจะพิจารณาอนุมัติได้</w:t>
      </w:r>
    </w:p>
    <w:p w14:paraId="44061A8B" w14:textId="588DF623" w:rsidR="00923183" w:rsidRPr="00ED00B1" w:rsidRDefault="00923183" w:rsidP="005A5F16">
      <w:pPr>
        <w:widowControl w:val="0"/>
        <w:tabs>
          <w:tab w:val="left" w:pos="-720"/>
          <w:tab w:val="left" w:pos="2694"/>
        </w:tabs>
        <w:autoSpaceDE w:val="0"/>
        <w:autoSpaceDN w:val="0"/>
        <w:adjustRightInd w:val="0"/>
        <w:ind w:firstLine="2268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(</w:t>
      </w:r>
      <w:r w:rsidR="00751BE8" w:rsidRPr="00ED00B1">
        <w:rPr>
          <w:rFonts w:ascii="DilleniaUPC" w:eastAsia="Calibri" w:hAnsi="DilleniaUPC" w:cs="DilleniaUPC" w:hint="cs"/>
          <w:sz w:val="30"/>
          <w:szCs w:val="30"/>
          <w:cs/>
        </w:rPr>
        <w:t>1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)</w:t>
      </w:r>
      <w:r w:rsidR="00B123CF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ผู้ขออนุมัติควรจัดทำบันทึกความเห็นและเหตุผลโดยละเอียดเสนอต่อบุคคล</w:t>
      </w:r>
      <w:r w:rsidR="001C6582" w:rsidRPr="00ED00B1">
        <w:rPr>
          <w:rFonts w:ascii="DilleniaUPC" w:eastAsia="Calibri" w:hAnsi="DilleniaUPC" w:cs="DilleniaUPC"/>
          <w:sz w:val="30"/>
          <w:szCs w:val="30"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หรือคณะบุคคลเพื่อพิจารณาเป็นกรณีพิเศษ </w:t>
      </w:r>
    </w:p>
    <w:p w14:paraId="442F4B8C" w14:textId="4568DE80" w:rsidR="00923183" w:rsidRPr="00ED00B1" w:rsidRDefault="00751BE8" w:rsidP="005A5F16">
      <w:pPr>
        <w:widowControl w:val="0"/>
        <w:tabs>
          <w:tab w:val="left" w:pos="-720"/>
          <w:tab w:val="left" w:pos="2694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268"/>
        <w:jc w:val="thaiDistribute"/>
        <w:rPr>
          <w:rFonts w:ascii="DilleniaUPC" w:eastAsia="Calibri" w:hAnsi="DilleniaUPC" w:cs="DilleniaUPC"/>
          <w:spacing w:val="-4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(</w:t>
      </w:r>
      <w:r w:rsidR="00514F99" w:rsidRPr="00ED00B1">
        <w:rPr>
          <w:rFonts w:ascii="DilleniaUPC" w:eastAsia="Calibri" w:hAnsi="DilleniaUPC" w:cs="DilleniaUPC" w:hint="cs"/>
          <w:spacing w:val="-4"/>
          <w:sz w:val="30"/>
          <w:szCs w:val="30"/>
          <w:cs/>
        </w:rPr>
        <w:t>2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)</w:t>
      </w:r>
      <w:r w:rsidR="00B123CF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ab/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 xml:space="preserve">บุคคลหรือคณะบุคคลควรจัดทำรายงานการพิจารณาอนุมัติวงเงินตาม </w:t>
      </w:r>
      <w:r w:rsidR="004532FC" w:rsidRPr="00ED00B1">
        <w:rPr>
          <w:rFonts w:ascii="DilleniaUPC" w:eastAsia="Calibri" w:hAnsi="DilleniaUPC" w:cs="DilleniaUPC"/>
          <w:spacing w:val="-4"/>
          <w:sz w:val="30"/>
          <w:szCs w:val="30"/>
        </w:rPr>
        <w:t>8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pacing w:val="-4"/>
          <w:sz w:val="30"/>
          <w:szCs w:val="30"/>
        </w:rPr>
        <w:t>3</w:t>
      </w:r>
      <w:r w:rsidR="00B87A56" w:rsidRPr="00ED00B1">
        <w:rPr>
          <w:rFonts w:ascii="DilleniaUPC" w:eastAsia="Calibri" w:hAnsi="DilleniaUPC" w:cs="DilleniaUPC" w:hint="cs"/>
          <w:spacing w:val="-4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pacing w:val="-4"/>
          <w:sz w:val="30"/>
          <w:szCs w:val="30"/>
        </w:rPr>
        <w:t>1</w:t>
      </w:r>
      <w:r w:rsidR="00B87A56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(</w:t>
      </w:r>
      <w:r w:rsidR="0004438D" w:rsidRPr="00ED00B1">
        <w:rPr>
          <w:rFonts w:ascii="DilleniaUPC" w:eastAsia="Calibri" w:hAnsi="DilleniaUPC" w:cs="DilleniaUPC"/>
          <w:spacing w:val="-4"/>
          <w:sz w:val="30"/>
          <w:szCs w:val="30"/>
        </w:rPr>
        <w:t>1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 xml:space="preserve">) </w:t>
      </w:r>
      <w:r w:rsidR="00A8679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br/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ของลูกค้าที่ขออนุมัติวงเงินสูงกว่าเกณฑ์ที่กำหนด</w:t>
      </w:r>
      <w:r w:rsidR="00BE2C0C" w:rsidRPr="00ED00B1">
        <w:rPr>
          <w:rFonts w:ascii="DilleniaUPC" w:eastAsia="Calibri" w:hAnsi="DilleniaUPC" w:cs="DilleniaUPC" w:hint="cs"/>
          <w:spacing w:val="-4"/>
          <w:sz w:val="30"/>
          <w:szCs w:val="30"/>
          <w:cs/>
        </w:rPr>
        <w:t xml:space="preserve"> 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>เพื่อเสนอต่อคณะกรรมการบริษัทเพื่อทราบในการประชุมครั้งแรกภายหลังจากที่มีการพิจารณาอนุมัติวงเงินดังกล่าว ซึ่งไม่ควรเกิน</w:t>
      </w:r>
      <w:r w:rsidR="00D75FF5" w:rsidRPr="00ED00B1">
        <w:rPr>
          <w:rFonts w:ascii="DilleniaUPC" w:eastAsia="Calibri" w:hAnsi="DilleniaUPC" w:cs="DilleniaUPC" w:hint="cs"/>
          <w:spacing w:val="-4"/>
          <w:sz w:val="30"/>
          <w:szCs w:val="30"/>
          <w:cs/>
        </w:rPr>
        <w:t xml:space="preserve"> 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</w:rPr>
        <w:t xml:space="preserve">3 </w:t>
      </w:r>
      <w:r w:rsidR="00923183" w:rsidRPr="00ED00B1">
        <w:rPr>
          <w:rFonts w:ascii="DilleniaUPC" w:eastAsia="Calibri" w:hAnsi="DilleniaUPC" w:cs="DilleniaUPC"/>
          <w:spacing w:val="-4"/>
          <w:sz w:val="30"/>
          <w:szCs w:val="30"/>
          <w:cs/>
        </w:rPr>
        <w:t xml:space="preserve">เดือนนับจากวันที่บุคคลหรือคณะบุคคลได้พิจารณาอนุมัติวงเงินนั้น ในกรณีที่คณะกรรมการบริษัทไม่เห็นด้วยกับการอนุมัติวงเงินให้ลูกค้ารายใด สมาชิกควรทบทวนวงเงินของลูกค้ารายนั้นทันที </w:t>
      </w:r>
    </w:p>
    <w:p w14:paraId="65720B87" w14:textId="291946F3" w:rsidR="00923183" w:rsidRPr="00ED00B1" w:rsidRDefault="00923183" w:rsidP="005A5F16">
      <w:pPr>
        <w:widowControl w:val="0"/>
        <w:tabs>
          <w:tab w:val="left" w:pos="-720"/>
          <w:tab w:val="left" w:pos="0"/>
          <w:tab w:val="left" w:pos="720"/>
          <w:tab w:val="left" w:pos="1134"/>
          <w:tab w:val="left" w:pos="1843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268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ทั้งนี้ คณะกรรมการบริษัทอาจมอบหมายให้คณะบุคคลดูแลติดตามรายการที่อนุมัติ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ต่างจากแนวทางที่</w:t>
      </w:r>
      <w:r w:rsidR="00620BE9" w:rsidRPr="00ED00B1">
        <w:rPr>
          <w:rFonts w:ascii="DilleniaUPC" w:eastAsia="Calibri" w:hAnsi="DilleniaUPC" w:cs="DilleniaUPC" w:hint="cs"/>
          <w:sz w:val="30"/>
          <w:szCs w:val="30"/>
          <w:cs/>
        </w:rPr>
        <w:t>สมาชิก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กำหนดและนำเสนอต่อคณะกรรมการบริษัทในกรณีที่เป็นรายการที่มีนัยสำคัญ</w:t>
      </w:r>
    </w:p>
    <w:p w14:paraId="72831555" w14:textId="6DDD1E4C" w:rsidR="00923183" w:rsidRPr="00ED00B1" w:rsidRDefault="004532FC" w:rsidP="00957887">
      <w:pPr>
        <w:widowControl w:val="0"/>
        <w:tabs>
          <w:tab w:val="left" w:pos="-720"/>
          <w:tab w:val="left" w:pos="0"/>
          <w:tab w:val="left" w:pos="2268"/>
        </w:tabs>
        <w:autoSpaceDE w:val="0"/>
        <w:autoSpaceDN w:val="0"/>
        <w:adjustRightInd w:val="0"/>
        <w:ind w:firstLine="1701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751BE8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3</w:t>
      </w:r>
      <w:r w:rsidR="00751BE8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2</w:t>
      </w:r>
      <w:r w:rsidR="00C476FF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กรณีวงเงินที่ขออนุมัติไม่อยู่ในข่ายที่บุคคลหรือคณะบุคคลตาม</w:t>
      </w:r>
      <w:r w:rsidR="00751BE8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BE2C0C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3</w:t>
      </w:r>
      <w:r w:rsidR="00BE2C0C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1</w:t>
      </w:r>
      <w:r w:rsidR="0004438D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จะพิจารณาอนุมัติได้ ผู้ขออนุมัติควรจัดทำบันทึกความเห็นและเหตุผลโดยละเอียดเสนอต่อคณะกรรมการบริษัทเพื่อพิจารณาเป็นกรณีพิเศษ </w:t>
      </w:r>
    </w:p>
    <w:p w14:paraId="4C851B72" w14:textId="67FA73AE" w:rsidR="00E01E0E" w:rsidRPr="00ED00B1" w:rsidRDefault="004532FC" w:rsidP="005A5F16">
      <w:pPr>
        <w:widowControl w:val="0"/>
        <w:tabs>
          <w:tab w:val="left" w:pos="1170"/>
          <w:tab w:val="left" w:pos="1701"/>
        </w:tabs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751BE8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04438D" w:rsidRPr="00ED00B1">
        <w:rPr>
          <w:rFonts w:ascii="DilleniaUPC" w:eastAsia="Calibri" w:hAnsi="DilleniaUPC" w:cs="DilleniaUPC"/>
          <w:sz w:val="30"/>
          <w:szCs w:val="30"/>
        </w:rPr>
        <w:t>4</w:t>
      </w:r>
      <w:r w:rsidR="00D06FCA" w:rsidRPr="00ED00B1">
        <w:rPr>
          <w:rFonts w:ascii="DilleniaUPC" w:eastAsia="Calibri" w:hAnsi="DilleniaUPC" w:cs="DilleniaUPC"/>
          <w:sz w:val="30"/>
          <w:szCs w:val="30"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สมาชิกควรจัดเก็บและเรียกดูข้อมูลของลูกค้าที่</w:t>
      </w:r>
      <w:r w:rsidR="007F7E56" w:rsidRPr="00ED00B1">
        <w:rPr>
          <w:rFonts w:ascii="DilleniaUPC" w:eastAsia="Calibri" w:hAnsi="DilleniaUPC" w:cs="DilleniaUPC"/>
          <w:sz w:val="30"/>
          <w:szCs w:val="30"/>
          <w:cs/>
        </w:rPr>
        <w:t xml:space="preserve">สมาชิกให้วงเงินไม่เป็นไปตามข้อ </w:t>
      </w:r>
      <w:r w:rsidR="00113A8F" w:rsidRPr="00ED00B1">
        <w:rPr>
          <w:rFonts w:ascii="DilleniaUPC" w:eastAsia="Calibri" w:hAnsi="DilleniaUPC" w:cs="DilleniaUPC"/>
          <w:sz w:val="30"/>
          <w:szCs w:val="30"/>
        </w:rPr>
        <w:t>5</w:t>
      </w:r>
      <w:r w:rsidR="007F7E56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 การกำหนดวงเงินซื้อขายหลักทรัพย์ของลูกค้า</w:t>
      </w:r>
      <w:r w:rsidR="00850606" w:rsidRPr="00ED00B1">
        <w:rPr>
          <w:rFonts w:ascii="DilleniaUPC" w:eastAsia="Calibri" w:hAnsi="DilleniaUPC" w:cs="DilleniaUPC"/>
          <w:sz w:val="30"/>
          <w:szCs w:val="30"/>
        </w:rPr>
        <w:t xml:space="preserve">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ได้ทันทีเมื่อสำนักงาน</w:t>
      </w:r>
      <w:r w:rsidR="00CB1506" w:rsidRPr="00ED00B1">
        <w:rPr>
          <w:rFonts w:ascii="DilleniaUPC" w:eastAsia="Calibri" w:hAnsi="DilleniaUPC" w:cs="DilleniaUPC"/>
          <w:sz w:val="30"/>
          <w:szCs w:val="30"/>
        </w:rPr>
        <w:t xml:space="preserve"> </w:t>
      </w:r>
      <w:r w:rsidR="00CB1506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ก.ล.ต.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ร้องขอ</w:t>
      </w:r>
    </w:p>
    <w:p w14:paraId="119208CB" w14:textId="0E34D3E6" w:rsidR="00923183" w:rsidRPr="00ED00B1" w:rsidRDefault="004532FC" w:rsidP="005A5F16">
      <w:pPr>
        <w:widowControl w:val="0"/>
        <w:tabs>
          <w:tab w:val="left" w:pos="1701"/>
        </w:tabs>
        <w:ind w:firstLine="1276"/>
        <w:jc w:val="thaiDistribute"/>
        <w:rPr>
          <w:rFonts w:ascii="DilleniaUPC" w:eastAsia="Calibri" w:hAnsi="DilleniaUPC" w:cs="DilleniaUPC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z w:val="30"/>
          <w:szCs w:val="30"/>
        </w:rPr>
        <w:t>8</w:t>
      </w:r>
      <w:r w:rsidR="00751BE8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3E7CA2" w:rsidRPr="00ED00B1">
        <w:rPr>
          <w:rFonts w:ascii="DilleniaUPC" w:eastAsia="Calibri" w:hAnsi="DilleniaUPC" w:cs="DilleniaUPC"/>
          <w:sz w:val="30"/>
          <w:szCs w:val="30"/>
        </w:rPr>
        <w:t>5</w:t>
      </w:r>
      <w:r w:rsidR="00D06FCA" w:rsidRPr="00ED00B1">
        <w:rPr>
          <w:rFonts w:ascii="DilleniaUPC" w:eastAsia="Calibri" w:hAnsi="DilleniaUPC" w:cs="DilleniaUPC"/>
          <w:sz w:val="30"/>
          <w:szCs w:val="30"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ในกรณีที่มีเหตุจำเป็นที่สมาชิกเห็นสมควรจะพิจารณาเพิ่มวงเงินชั่วคราวให้แก่ลูกค้า สมาชิกควรกำหนดขั้นตอนการพิจารณาและผู้มีอำนาจอนุมัติวงเงินชั่วคราว รวมทั้งระบุเหตุผลและระยะเวลาของวงเงินชั่วคราวดังกล่าวให้ชัดเจน เช่น</w:t>
      </w:r>
    </w:p>
    <w:p w14:paraId="7726B780" w14:textId="77777777" w:rsidR="00E40B05" w:rsidRPr="00ED00B1" w:rsidRDefault="00E40B05" w:rsidP="005A5F16">
      <w:pPr>
        <w:widowControl w:val="0"/>
        <w:tabs>
          <w:tab w:val="left" w:pos="1134"/>
        </w:tabs>
        <w:ind w:firstLine="1701"/>
        <w:jc w:val="thaiDistribute"/>
        <w:rPr>
          <w:rFonts w:ascii="DilleniaUPC" w:eastAsia="Calibri" w:hAnsi="DilleniaUPC" w:cs="DilleniaUPC"/>
          <w:sz w:val="30"/>
          <w:szCs w:val="30"/>
        </w:rPr>
      </w:pPr>
    </w:p>
    <w:p w14:paraId="2A67FDC8" w14:textId="6F0A3F2E" w:rsidR="00923183" w:rsidRPr="00ED00B1" w:rsidRDefault="00923183" w:rsidP="005A5F16">
      <w:pPr>
        <w:widowControl w:val="0"/>
        <w:tabs>
          <w:tab w:val="left" w:pos="1134"/>
        </w:tabs>
        <w:ind w:firstLine="1701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lastRenderedPageBreak/>
        <w:t xml:space="preserve">ในกรณีที่การขออนุมัติวงเงินชั่วคราวข้างต้นอาจทำให้วงเงินของลูกค้าสูงกว่าเกณฑ์ปกติ </w:t>
      </w:r>
      <w:r w:rsidR="00A86793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(เช่น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เกณฑ์ปกติกำหนดวงเงินสูงสุด </w:t>
      </w:r>
      <w:r w:rsidR="00382F9D" w:rsidRPr="00ED00B1">
        <w:rPr>
          <w:rFonts w:ascii="DilleniaUPC" w:eastAsia="Calibri" w:hAnsi="DilleniaUPC" w:cs="DilleniaUPC" w:hint="cs"/>
          <w:sz w:val="30"/>
          <w:szCs w:val="30"/>
          <w:cs/>
        </w:rPr>
        <w:t>1,000,000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 บาท สมาชิกอนุมัติวงเงินตอนที่เปิดบัญชี 800</w:t>
      </w:r>
      <w:r w:rsidRPr="00ED00B1">
        <w:rPr>
          <w:rFonts w:ascii="DilleniaUPC" w:eastAsia="Calibri" w:hAnsi="DilleniaUPC" w:cs="DilleniaUPC"/>
          <w:sz w:val="30"/>
          <w:szCs w:val="30"/>
        </w:rPr>
        <w:t>,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000 บาท และจะขออนุมัติวงเงินชั่วคราวเกินกว่า 200</w:t>
      </w:r>
      <w:r w:rsidRPr="00ED00B1">
        <w:rPr>
          <w:rFonts w:ascii="DilleniaUPC" w:eastAsia="Calibri" w:hAnsi="DilleniaUPC" w:cs="DilleniaUPC"/>
          <w:sz w:val="30"/>
          <w:szCs w:val="30"/>
        </w:rPr>
        <w:t>,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000 บาท) สมาชิกควรปฏิบัติในทำนองเดียวกับการพิจารณาอนุมัต</w:t>
      </w:r>
      <w:r w:rsidR="00751BE8" w:rsidRPr="00ED00B1">
        <w:rPr>
          <w:rFonts w:ascii="DilleniaUPC" w:eastAsia="Calibri" w:hAnsi="DilleniaUPC" w:cs="DilleniaUPC"/>
          <w:sz w:val="30"/>
          <w:szCs w:val="30"/>
          <w:cs/>
        </w:rPr>
        <w:t xml:space="preserve">ิวงเงินสูงกว่าเกณฑ์ที่กำหนดตาม </w:t>
      </w:r>
      <w:r w:rsidR="004532FC" w:rsidRPr="00ED00B1">
        <w:rPr>
          <w:rFonts w:ascii="DilleniaUPC" w:eastAsia="Calibri" w:hAnsi="DilleniaUPC" w:cs="DilleniaUPC"/>
          <w:sz w:val="30"/>
          <w:szCs w:val="30"/>
        </w:rPr>
        <w:t>8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525196" w:rsidRPr="00ED00B1">
        <w:rPr>
          <w:rFonts w:ascii="DilleniaUPC" w:eastAsia="Calibri" w:hAnsi="DilleniaUPC" w:cs="DilleniaUPC"/>
          <w:sz w:val="30"/>
          <w:szCs w:val="30"/>
        </w:rPr>
        <w:t>3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525196" w:rsidRPr="00ED00B1">
        <w:rPr>
          <w:rFonts w:ascii="DilleniaUPC" w:eastAsia="Calibri" w:hAnsi="DilleniaUPC" w:cs="DilleniaUPC"/>
          <w:sz w:val="30"/>
          <w:szCs w:val="30"/>
        </w:rPr>
        <w:t>1</w:t>
      </w:r>
      <w:r w:rsidR="00525196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หรือ </w:t>
      </w:r>
      <w:r w:rsidR="004532FC" w:rsidRPr="00ED00B1">
        <w:rPr>
          <w:rFonts w:ascii="DilleniaUPC" w:eastAsia="Calibri" w:hAnsi="DilleniaUPC" w:cs="DilleniaUPC"/>
          <w:sz w:val="30"/>
          <w:szCs w:val="30"/>
        </w:rPr>
        <w:t>8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525196" w:rsidRPr="00ED00B1">
        <w:rPr>
          <w:rFonts w:ascii="DilleniaUPC" w:eastAsia="Calibri" w:hAnsi="DilleniaUPC" w:cs="DilleniaUPC"/>
          <w:sz w:val="30"/>
          <w:szCs w:val="30"/>
        </w:rPr>
        <w:t>3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525196" w:rsidRPr="00ED00B1">
        <w:rPr>
          <w:rFonts w:ascii="DilleniaUPC" w:eastAsia="Calibri" w:hAnsi="DilleniaUPC" w:cs="DilleniaUPC"/>
          <w:sz w:val="30"/>
          <w:szCs w:val="30"/>
        </w:rPr>
        <w:t>2</w:t>
      </w:r>
      <w:r w:rsidR="00525196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โดยอนุโลม</w:t>
      </w:r>
      <w:r w:rsidR="00212188" w:rsidRPr="00ED00B1">
        <w:rPr>
          <w:rFonts w:ascii="DilleniaUPC" w:hAnsi="DilleniaUPC" w:cs="DilleniaUPC"/>
          <w:sz w:val="30"/>
          <w:szCs w:val="30"/>
        </w:rPr>
        <w:t xml:space="preserve"> </w:t>
      </w:r>
    </w:p>
    <w:p w14:paraId="0D5B2941" w14:textId="2EC66810" w:rsidR="00E01E0E" w:rsidRPr="00ED00B1" w:rsidRDefault="00923183" w:rsidP="005A5F16">
      <w:pPr>
        <w:widowControl w:val="0"/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1701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ในการเพิ่มวงเงินชั่วคราวดังกล่าว สมาชิกควรกำหนดอัตราสูงสุดของวงเงินชั่วคราวตามสัดส่วนของวงเงินเดิมที่จะไม่ทำให้วงเงินของลูกค้าเพิ่มขึ้นอย่างมีนัยสำคัญ (เช่น วงเงินชั่วคราวไม่เกินร้อยละ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 50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ของวงเงินเดิม)</w:t>
      </w:r>
    </w:p>
    <w:p w14:paraId="28B62F68" w14:textId="0B789C72" w:rsidR="00923183" w:rsidRPr="00ED00B1" w:rsidRDefault="00923183" w:rsidP="005A5F16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ind w:firstLine="1701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นอกจากนี้ สมาชิกควรดำเนินการที่สามารถทำให้มั่นใจได้ว่า การเพิ่มวงเงินชั่วคราวเป็นการอนุมัติเพื่อประโยชน์ในการซื้อขายหลักทรัพย์เป็นครั้งคราวเท่านั้นและควรกลับไปสู่วงเงินเดิมโดยเร็ว ซึ่งหากสมาชิกมีการอนุมัติวงเงินชั่วคราวให้ลูกค้ารายใดบ่อยครั้ง สมาชิกควรพิจารณาทบทวนวงเงินของลูกค้ารายนั้นโดยไม่ชักช้า</w:t>
      </w:r>
    </w:p>
    <w:p w14:paraId="70456E3D" w14:textId="6C203267" w:rsidR="00923183" w:rsidRPr="00ED00B1" w:rsidRDefault="005571B8" w:rsidP="005A5F16">
      <w:pPr>
        <w:widowControl w:val="0"/>
        <w:tabs>
          <w:tab w:val="left" w:pos="1276"/>
          <w:tab w:val="left" w:pos="1800"/>
        </w:tabs>
        <w:spacing w:before="12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532FC" w:rsidRPr="00ED00B1">
        <w:rPr>
          <w:rFonts w:ascii="DilleniaUPC" w:eastAsia="Calibri" w:hAnsi="DilleniaUPC" w:cs="DilleniaUPC"/>
          <w:sz w:val="30"/>
          <w:szCs w:val="30"/>
          <w:lang w:eastAsia="en-US"/>
        </w:rPr>
        <w:t>9</w:t>
      </w:r>
      <w:r w:rsidR="00A45B9A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การทบทวนและการระงับวงเงินของลูกค้า </w:t>
      </w:r>
    </w:p>
    <w:p w14:paraId="767D3DE8" w14:textId="1F151712" w:rsidR="007F181F" w:rsidRPr="00ED00B1" w:rsidRDefault="005F7AD3" w:rsidP="00A64977">
      <w:pPr>
        <w:widowControl w:val="0"/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ในการทบทวนหรือการพิจารณาเพิ่ม(ลด)วงเงิน ให้ปฏิบัติให้เป็นไปตามข้อ </w:t>
      </w:r>
      <w:r w:rsidR="00113A8F" w:rsidRPr="00ED00B1">
        <w:rPr>
          <w:rFonts w:ascii="DilleniaUPC" w:eastAsia="Calibri" w:hAnsi="DilleniaUPC" w:cs="DilleniaUPC"/>
          <w:sz w:val="30"/>
          <w:szCs w:val="30"/>
        </w:rPr>
        <w:t>5</w:t>
      </w:r>
      <w:r w:rsidR="00113A8F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และข้อ </w:t>
      </w:r>
      <w:r w:rsidR="00113A8F" w:rsidRPr="00ED00B1">
        <w:rPr>
          <w:rFonts w:ascii="DilleniaUPC" w:eastAsia="Calibri" w:hAnsi="DilleniaUPC" w:cs="DilleniaUPC"/>
          <w:sz w:val="30"/>
          <w:szCs w:val="30"/>
        </w:rPr>
        <w:t xml:space="preserve">6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นอกจากนี้</w:t>
      </w:r>
      <w:r w:rsidR="00E01E0E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DC593B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เพื่อให้การกำหนดวงเงินของลูกค้า</w:t>
      </w:r>
      <w:r w:rsidR="0055184B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(</w:t>
      </w:r>
      <w:r w:rsidR="0055184B" w:rsidRPr="00ED00B1">
        <w:rPr>
          <w:rFonts w:ascii="DilleniaUPC" w:eastAsia="Calibri" w:hAnsi="DilleniaUPC" w:cs="DilleniaUPC"/>
          <w:sz w:val="30"/>
          <w:szCs w:val="30"/>
          <w:cs/>
        </w:rPr>
        <w:t>รวมผู้เกี่ยวข้อง</w:t>
      </w:r>
      <w:r w:rsidR="0055184B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เป็นปัจจุบันและเหมาะสมกับข้อมูลลูกค้า</w:t>
      </w:r>
      <w:r w:rsidR="00513786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ที่อาจมีการเปลี่ยนแปลงไป </w:t>
      </w:r>
      <w:r w:rsidR="003D310B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5C0818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สมาชิกทบทวนวงเงินของลูกค้าอย่างน้อยปีละครั้ง</w:t>
      </w:r>
      <w:r w:rsidR="00DC593B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bookmarkStart w:id="19" w:name="_Hlk171408927"/>
      <w:r w:rsidR="00A85324" w:rsidRPr="00ED00B1">
        <w:rPr>
          <w:rFonts w:ascii="DilleniaUPC" w:eastAsia="Calibri" w:hAnsi="DilleniaUPC" w:cs="DilleniaUPC"/>
          <w:sz w:val="30"/>
          <w:szCs w:val="30"/>
          <w:cs/>
        </w:rPr>
        <w:t>ยกเว้น</w:t>
      </w:r>
      <w:r w:rsidR="007F181F" w:rsidRPr="00ED00B1">
        <w:rPr>
          <w:rFonts w:ascii="DilleniaUPC" w:eastAsia="Calibri" w:hAnsi="DilleniaUPC" w:cs="DilleniaUPC"/>
          <w:sz w:val="30"/>
          <w:szCs w:val="30"/>
          <w:cs/>
        </w:rPr>
        <w:t>ในกรณีต่อไปนี้ที่สมาชิกต้องทบทวนวงเงินทันทีหรือ</w:t>
      </w:r>
      <w:r w:rsidR="00DC593B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7F181F" w:rsidRPr="00ED00B1">
        <w:rPr>
          <w:rFonts w:ascii="DilleniaUPC" w:eastAsia="Calibri" w:hAnsi="DilleniaUPC" w:cs="DilleniaUPC"/>
          <w:sz w:val="30"/>
          <w:szCs w:val="30"/>
          <w:cs/>
        </w:rPr>
        <w:t>อาจพิจารณาระงับการซื้อขายของลูกค้า</w:t>
      </w:r>
      <w:r w:rsidR="007F181F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</w:p>
    <w:p w14:paraId="0A6CCCB3" w14:textId="546DB9B7" w:rsidR="00E01E0E" w:rsidRPr="00ED00B1" w:rsidRDefault="005A2943" w:rsidP="00A85324">
      <w:pPr>
        <w:widowControl w:val="0"/>
        <w:tabs>
          <w:tab w:val="left" w:pos="1701"/>
        </w:tabs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 xml:space="preserve">9.1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ลูกค้ามีการเปลี่ยนแปลงที่อาจมีผลกระทบต่อฐานะการเงินและความสามารถในการชำระหนี้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เช่น ลูกค้ามีการชำระหนี้ล่าช้า ลูกค้าผิดนัดชำระหนี้ </w:t>
      </w:r>
      <w:r w:rsidR="007856FE"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ลูกค้ามีหนี้สินล้นพ้นตัว </w:t>
      </w:r>
      <w:r w:rsidR="00C27408" w:rsidRPr="00ED00B1">
        <w:rPr>
          <w:rFonts w:ascii="DilleniaUPC" w:eastAsia="Calibri" w:hAnsi="DilleniaUPC" w:cs="DilleniaUPC" w:hint="cs"/>
          <w:sz w:val="30"/>
          <w:szCs w:val="30"/>
          <w:cs/>
        </w:rPr>
        <w:t>หรือกรณีที่สมาชิกพึงทราบว่า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ลูกค้าใช้เงินกู้ยืมนอกระบบ ธุรกิจลูกค้าประสบความเสียหาย หรือพบความผิดปกติในข้อมูลสำคัญที่ใช้ประกอบการพิจารณาวงเงิน เช่น การโอน</w:t>
      </w:r>
      <w:r w:rsidR="00901060" w:rsidRPr="00ED00B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ที่ใช้ในการเพิ่มวงเงินออกในเวลาไม่นานหลังได้รับการพิจารณาเพิ่มวงเงิน</w:t>
      </w:r>
      <w:r w:rsidR="00C13F19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หรือตัวลูกค้านั้น</w:t>
      </w:r>
      <w:r w:rsidR="00C13F19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C13F19" w:rsidRPr="00ED00B1">
        <w:rPr>
          <w:rFonts w:ascii="DilleniaUPC" w:eastAsia="Calibri" w:hAnsi="DilleniaUPC" w:cs="DilleniaUPC" w:hint="cs"/>
          <w:sz w:val="30"/>
          <w:szCs w:val="30"/>
          <w:cs/>
        </w:rPr>
        <w:t>มีความเสี่ยงสูงขึ้น</w:t>
      </w:r>
      <w:r w:rsidR="00C13F19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154386" w:rsidRPr="00ED00B1">
        <w:rPr>
          <w:rFonts w:ascii="DilleniaUPC" w:eastAsia="Calibri" w:hAnsi="DilleniaUPC" w:cs="DilleniaUPC"/>
          <w:sz w:val="30"/>
          <w:szCs w:val="30"/>
          <w:cs/>
        </w:rPr>
        <w:t>โดยหากเป็นกรณีที่</w:t>
      </w:r>
      <w:r w:rsidR="003A360A" w:rsidRPr="00ED00B1">
        <w:rPr>
          <w:rFonts w:ascii="DilleniaUPC" w:eastAsia="Calibri" w:hAnsi="DilleniaUPC" w:cs="DilleniaUPC"/>
          <w:sz w:val="30"/>
          <w:szCs w:val="30"/>
          <w:cs/>
        </w:rPr>
        <w:t>ลูกค้าส่งคำสั่งซื้อขายแล้วและยังไม่ได้ชำระราคาหรือส่งมอบ</w:t>
      </w:r>
      <w:r w:rsidR="00BC01CF"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ในบัญชีเงินสด </w:t>
      </w:r>
      <w:r w:rsidR="00A83B20" w:rsidRPr="00ED00B1">
        <w:rPr>
          <w:rFonts w:ascii="DilleniaUPC" w:eastAsia="Calibri" w:hAnsi="DilleniaUPC" w:cs="DilleniaUPC"/>
          <w:sz w:val="30"/>
          <w:szCs w:val="30"/>
          <w:cs/>
        </w:rPr>
        <w:t>สมาชิกอาจ</w:t>
      </w:r>
      <w:r w:rsidR="00A06745" w:rsidRPr="00ED00B1">
        <w:rPr>
          <w:rFonts w:ascii="DilleniaUPC" w:eastAsia="Calibri" w:hAnsi="DilleniaUPC" w:cs="DilleniaUPC" w:hint="cs"/>
          <w:sz w:val="30"/>
          <w:szCs w:val="30"/>
          <w:cs/>
        </w:rPr>
        <w:t>พิจารณา</w:t>
      </w:r>
      <w:r w:rsidR="00A06745" w:rsidRPr="00ED00B1">
        <w:rPr>
          <w:rFonts w:ascii="DilleniaUPC" w:eastAsia="Calibri" w:hAnsi="DilleniaUPC" w:cs="DilleniaUPC"/>
          <w:sz w:val="30"/>
          <w:szCs w:val="30"/>
          <w:cs/>
        </w:rPr>
        <w:t xml:space="preserve">เรียกหลักประกันเพิ่มเติมหรือ </w:t>
      </w:r>
      <w:r w:rsidR="00A06745" w:rsidRPr="00ED00B1">
        <w:rPr>
          <w:rFonts w:ascii="DilleniaUPC" w:eastAsia="Calibri" w:hAnsi="DilleniaUPC" w:cs="DilleniaUPC"/>
          <w:sz w:val="30"/>
          <w:szCs w:val="30"/>
        </w:rPr>
        <w:t xml:space="preserve">haircut </w:t>
      </w:r>
      <w:r w:rsidR="00A06745" w:rsidRPr="00ED00B1">
        <w:rPr>
          <w:rFonts w:ascii="DilleniaUPC" w:eastAsia="Calibri" w:hAnsi="DilleniaUPC" w:cs="DilleniaUPC"/>
          <w:sz w:val="30"/>
          <w:szCs w:val="30"/>
          <w:cs/>
        </w:rPr>
        <w:t xml:space="preserve">หลักประกันเพิ่มขึ้น </w:t>
      </w:r>
    </w:p>
    <w:p w14:paraId="41432F17" w14:textId="7FBC00EE" w:rsidR="00E01E0E" w:rsidRPr="00ED00B1" w:rsidRDefault="005A2943" w:rsidP="00A85324">
      <w:pPr>
        <w:widowControl w:val="0"/>
        <w:tabs>
          <w:tab w:val="left" w:pos="1701"/>
        </w:tabs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 xml:space="preserve">9.2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ลูกค้ามีพฤติกรรมซื้อขายหลักทรัพย์ในลักษณะที่อาจไม่เหมาะสม</w:t>
      </w:r>
      <w:r w:rsidR="00FF64BB" w:rsidRPr="00ED00B1">
        <w:rPr>
          <w:rFonts w:ascii="DilleniaUPC" w:eastAsia="Calibri" w:hAnsi="DilleniaUPC" w:cs="DilleniaUPC"/>
          <w:sz w:val="30"/>
          <w:szCs w:val="30"/>
        </w:rPr>
        <w:t xml:space="preserve">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ซึ่งมีผลให้มีการเปลี่ยนแปลง หรือไม่มีการเปลี่ยนแปลงอันไม่ตรงต่อสภาพปกติของตลาด (</w:t>
      </w:r>
      <w:r w:rsidR="00E20A3A">
        <w:rPr>
          <w:rFonts w:ascii="DilleniaUPC" w:eastAsia="Calibri" w:hAnsi="DilleniaUPC" w:cs="DilleniaUPC"/>
          <w:sz w:val="30"/>
          <w:szCs w:val="30"/>
        </w:rPr>
        <w:t>F</w:t>
      </w:r>
      <w:r w:rsidR="00923183" w:rsidRPr="00ED00B1">
        <w:rPr>
          <w:rFonts w:ascii="DilleniaUPC" w:eastAsia="Calibri" w:hAnsi="DilleniaUPC" w:cs="DilleniaUPC"/>
          <w:sz w:val="30"/>
          <w:szCs w:val="30"/>
        </w:rPr>
        <w:t xml:space="preserve">alse </w:t>
      </w:r>
      <w:r w:rsidR="00E20A3A">
        <w:rPr>
          <w:rFonts w:ascii="DilleniaUPC" w:eastAsia="Calibri" w:hAnsi="DilleniaUPC" w:cs="DilleniaUPC"/>
          <w:sz w:val="30"/>
          <w:szCs w:val="30"/>
        </w:rPr>
        <w:t>M</w:t>
      </w:r>
      <w:r w:rsidR="00923183" w:rsidRPr="00ED00B1">
        <w:rPr>
          <w:rFonts w:ascii="DilleniaUPC" w:eastAsia="Calibri" w:hAnsi="DilleniaUPC" w:cs="DilleniaUPC"/>
          <w:sz w:val="30"/>
          <w:szCs w:val="30"/>
        </w:rPr>
        <w:t>arket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) หรือตามที่ตลาดหลักทรัพย์มีข้อสังเกต </w:t>
      </w:r>
    </w:p>
    <w:p w14:paraId="1DA9EAEC" w14:textId="737D92DE" w:rsidR="00923183" w:rsidRPr="00ED00B1" w:rsidRDefault="005A2943" w:rsidP="00A85324">
      <w:pPr>
        <w:widowControl w:val="0"/>
        <w:tabs>
          <w:tab w:val="left" w:pos="1701"/>
        </w:tabs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</w:rPr>
        <w:t xml:space="preserve">9.3 </w:t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ลูกค้ามีพฤติกรรมที่อาจเข้าข่ายการดำเนินการที่เป็นการฟอกเงินหรือการซื้อขายเป็นกลุ่ม </w:t>
      </w:r>
      <w:bookmarkEnd w:id="19"/>
      <w:r w:rsidR="00923183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หรือ</w:t>
      </w:r>
      <w:r w:rsidR="00A62664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ลูกค้า</w:t>
      </w:r>
      <w:r w:rsidR="00CC0C25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br/>
      </w:r>
      <w:r w:rsidR="005513D4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มี</w:t>
      </w:r>
      <w:r w:rsidR="0070731C" w:rsidRPr="00ED00B1">
        <w:rPr>
          <w:rFonts w:ascii="DilleniaUPC" w:eastAsia="Calibri" w:hAnsi="DilleniaUPC" w:cs="DilleniaUPC"/>
          <w:spacing w:val="-6"/>
          <w:sz w:val="30"/>
          <w:szCs w:val="30"/>
          <w:cs/>
        </w:rPr>
        <w:t>พฤติกรรมอื่นใดที่อาจบ่งชี้ถึงการอำพรางชื่อเพื่อเปิดบัญชีซื้อขายหลักทรัพย์แทนผู้รับประโยชน์ที่แท้จริง (</w:t>
      </w:r>
      <w:r w:rsidR="0070731C" w:rsidRPr="00ED00B1">
        <w:rPr>
          <w:rFonts w:ascii="DilleniaUPC" w:eastAsia="Calibri" w:hAnsi="DilleniaUPC" w:cs="DilleniaUPC"/>
          <w:spacing w:val="-6"/>
          <w:sz w:val="30"/>
          <w:szCs w:val="30"/>
        </w:rPr>
        <w:t>Nominee)</w:t>
      </w:r>
      <w:r w:rsidR="0070731C" w:rsidRPr="00ED00B1">
        <w:rPr>
          <w:rFonts w:ascii="DilleniaUPC" w:eastAsia="Calibri" w:hAnsi="DilleniaUPC" w:cs="DilleniaUPC"/>
          <w:sz w:val="30"/>
          <w:szCs w:val="30"/>
        </w:rPr>
        <w:t xml:space="preserve"> </w:t>
      </w:r>
    </w:p>
    <w:p w14:paraId="1AA63023" w14:textId="28FEEC38" w:rsidR="00923183" w:rsidRPr="00ED00B1" w:rsidRDefault="00923183" w:rsidP="00AA7F7D">
      <w:pPr>
        <w:widowControl w:val="0"/>
        <w:ind w:firstLine="1276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ทั้งนี้</w:t>
      </w:r>
      <w:r w:rsidR="00F873B0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ในการทบทวนวงเงินและการระงับวงเงินของลูกค้า </w:t>
      </w:r>
      <w:r w:rsidR="00620BE9" w:rsidRPr="00ED00B1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อาจเลือกใช้เกณฑ์ตามที่กำหนด</w:t>
      </w:r>
      <w:r w:rsidR="00AC6418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หรือพิจารณาจากประวัติการซื้อขายและการชำระราคาซื้อขายของลูกค้า</w:t>
      </w:r>
    </w:p>
    <w:p w14:paraId="74915E5E" w14:textId="4A3EFDDB" w:rsidR="00923183" w:rsidRPr="00ED00B1" w:rsidRDefault="00923183" w:rsidP="005A5F16">
      <w:pPr>
        <w:widowControl w:val="0"/>
        <w:tabs>
          <w:tab w:val="left" w:pos="709"/>
        </w:tabs>
        <w:ind w:firstLine="1276"/>
        <w:jc w:val="thaiDistribute"/>
        <w:rPr>
          <w:rFonts w:ascii="DilleniaUPC" w:hAnsi="DilleniaUPC" w:cs="DilleniaUPC"/>
          <w:spacing w:val="-2"/>
          <w:sz w:val="30"/>
          <w:szCs w:val="30"/>
        </w:rPr>
      </w:pP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นอกเหนือจากการทบทวนวงเงินให้เหมาะสมกับความสามารถในการชำระหนี้ของลูกค้า สมาชิกควรพิจารณาทบทวนวงเงินซื้อขายหลักทรัพย์ให้เหมาะสมกับพฤติกรรมการลงทุนของลูกค้า โดยไม่เพิ่มวงเงินซื้อขายหลักทรัพย์ของลูกค้าจากการพิจารณาเพียงข้อมูลการซื้อขายหลักทรัพย์ที่ผ่านมา หรือประวัติไม่เคยผิดนัดชำระหนี้ ในกรณีที่สมาชิกทราบว่า ลูกค้ามีพฤติกรรมการลงทุนในลักษณะซื้อขายเร็ว หรือซื้อขายตามข่าวลือ</w:t>
      </w:r>
      <w:r w:rsidR="008D2194"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หรือซื้อขายหลักทรัพย์ที่มีความผันผวนสูง โดยอาจ</w:t>
      </w:r>
      <w:r w:rsidR="009C7F8E" w:rsidRPr="00ED00B1">
        <w:rPr>
          <w:rFonts w:ascii="DilleniaUPC" w:eastAsia="Calibri" w:hAnsi="DilleniaUPC" w:cs="DilleniaUPC"/>
          <w:spacing w:val="-2"/>
          <w:sz w:val="30"/>
          <w:szCs w:val="30"/>
        </w:rPr>
        <w:br/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ไม่คำนึงถึงปัจจัยพื้นฐาน หรือลูกค้ามีการซื้อขายกระจุกตัวใน</w:t>
      </w:r>
      <w:r w:rsidR="00901060" w:rsidRPr="00ED00B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ที่อยู่ใน</w:t>
      </w:r>
      <w:r w:rsidRPr="00ED00B1">
        <w:rPr>
          <w:rFonts w:ascii="DilleniaUPC" w:eastAsia="Calibri" w:hAnsi="DilleniaUPC" w:cs="DilleniaUPC"/>
          <w:spacing w:val="-2"/>
          <w:sz w:val="30"/>
          <w:szCs w:val="30"/>
        </w:rPr>
        <w:t xml:space="preserve"> Turnover </w:t>
      </w:r>
      <w:r w:rsidR="00E20A3A">
        <w:rPr>
          <w:rFonts w:ascii="DilleniaUPC" w:eastAsia="Calibri" w:hAnsi="DilleniaUPC" w:cs="DilleniaUPC"/>
          <w:spacing w:val="-2"/>
          <w:sz w:val="30"/>
          <w:szCs w:val="30"/>
        </w:rPr>
        <w:t>L</w:t>
      </w:r>
      <w:r w:rsidRPr="00ED00B1">
        <w:rPr>
          <w:rFonts w:ascii="DilleniaUPC" w:eastAsia="Calibri" w:hAnsi="DilleniaUPC" w:cs="DilleniaUPC"/>
          <w:spacing w:val="-2"/>
          <w:sz w:val="30"/>
          <w:szCs w:val="30"/>
        </w:rPr>
        <w:t>ist</w:t>
      </w:r>
      <w:r w:rsidR="00AC6418" w:rsidRPr="00ED00B1">
        <w:rPr>
          <w:rFonts w:ascii="DilleniaUPC" w:eastAsia="Calibri" w:hAnsi="DilleniaUPC" w:cs="DilleniaUPC"/>
          <w:spacing w:val="-2"/>
          <w:sz w:val="30"/>
          <w:szCs w:val="30"/>
        </w:rPr>
        <w:t xml:space="preserve"> 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หรือมีประวัติการซื้อขาย</w:t>
      </w:r>
      <w:r w:rsidR="009C7F8E" w:rsidRPr="00ED00B1">
        <w:rPr>
          <w:rFonts w:ascii="DilleniaUPC" w:eastAsia="Calibri" w:hAnsi="DilleniaUPC" w:cs="DilleniaUPC"/>
          <w:spacing w:val="-2"/>
          <w:sz w:val="30"/>
          <w:szCs w:val="30"/>
        </w:rPr>
        <w:br/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ไม่เหมาะสม เช่น ลูกค้าเคยถูกลงโทษหรือกล่าวโทษจากหน่วยงานทางการ</w:t>
      </w:r>
      <w:r w:rsidR="002D0FBE" w:rsidRPr="00ED00B1">
        <w:rPr>
          <w:rFonts w:ascii="DilleniaUPC" w:eastAsia="Calibri" w:hAnsi="DilleniaUPC" w:cs="DilleniaUPC" w:hint="cs"/>
          <w:spacing w:val="-2"/>
          <w:sz w:val="30"/>
          <w:szCs w:val="30"/>
          <w:cs/>
        </w:rPr>
        <w:t xml:space="preserve"> </w:t>
      </w:r>
      <w:r w:rsidR="002D0FBE"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เป็นต้น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 xml:space="preserve">  </w:t>
      </w:r>
      <w:r w:rsidR="00BD1292"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ให้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สมาชิกพิจารณากำหนดวงเงินซื้อขายหลักทรัพย์ให้ลูกค้าดังกล่าว ด้วยความเข้มงวดกว่าปกติ เพื่อป้องกันมิให้เกิดปัญหาการผิดนัดชำระราคาและส่งมอบหลักทรัพย์ของลูกค้าอันอาจส่งผลกระทบต่อฐานะของสมาชิก และเพื่อมิให้การซื้อขายหลักทรัพย์ของลูกค้าส่งผลกระทบ</w:t>
      </w:r>
      <w:r w:rsidR="009C7F8E" w:rsidRPr="00ED00B1">
        <w:rPr>
          <w:rFonts w:ascii="DilleniaUPC" w:eastAsia="Calibri" w:hAnsi="DilleniaUPC" w:cs="DilleniaUPC"/>
          <w:spacing w:val="-2"/>
          <w:sz w:val="30"/>
          <w:szCs w:val="30"/>
        </w:rPr>
        <w:br/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ต่อสภาพตลาด</w:t>
      </w:r>
      <w:r w:rsidR="00DD22AD"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ทุน</w:t>
      </w:r>
      <w:r w:rsidRPr="00ED00B1">
        <w:rPr>
          <w:rFonts w:ascii="DilleniaUPC" w:eastAsia="Calibri" w:hAnsi="DilleniaUPC" w:cs="DilleniaUPC"/>
          <w:spacing w:val="-2"/>
          <w:sz w:val="30"/>
          <w:szCs w:val="30"/>
          <w:cs/>
        </w:rPr>
        <w:t>โดยรวม ตลอดจนป้องกันมิให้สมาชิกตกเป็นเครื่องมือสนับสนุนลูกค้าที่มีวัตถุประสงค์อื่นแอบแฝง</w:t>
      </w:r>
    </w:p>
    <w:p w14:paraId="4008AC8A" w14:textId="77777777" w:rsidR="00E40B05" w:rsidRPr="00ED00B1" w:rsidRDefault="00E40B05" w:rsidP="005A5F16">
      <w:pPr>
        <w:widowControl w:val="0"/>
        <w:tabs>
          <w:tab w:val="left" w:pos="709"/>
        </w:tabs>
        <w:ind w:firstLine="1276"/>
        <w:jc w:val="thaiDistribute"/>
        <w:rPr>
          <w:rFonts w:ascii="DilleniaUPC" w:hAnsi="DilleniaUPC" w:cs="DilleniaUPC"/>
          <w:spacing w:val="-2"/>
          <w:sz w:val="30"/>
          <w:szCs w:val="30"/>
        </w:rPr>
      </w:pPr>
    </w:p>
    <w:p w14:paraId="07DE2A12" w14:textId="23C57203" w:rsidR="00923183" w:rsidRPr="00ED00B1" w:rsidRDefault="005571B8" w:rsidP="00F10AB6">
      <w:pPr>
        <w:widowControl w:val="0"/>
        <w:tabs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firstLine="709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lastRenderedPageBreak/>
        <w:t xml:space="preserve">ข้อ </w:t>
      </w:r>
      <w:r w:rsidR="004532FC" w:rsidRPr="00ED00B1">
        <w:rPr>
          <w:rFonts w:ascii="DilleniaUPC" w:eastAsia="Calibri" w:hAnsi="DilleniaUPC" w:cs="DilleniaUPC"/>
          <w:sz w:val="30"/>
          <w:szCs w:val="30"/>
        </w:rPr>
        <w:t>10</w:t>
      </w:r>
      <w:r w:rsidR="004532FC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923183" w:rsidRPr="00ED00B1">
        <w:rPr>
          <w:rFonts w:ascii="DilleniaUPC" w:eastAsia="Calibri" w:hAnsi="DilleniaUPC" w:cs="DilleniaUPC"/>
          <w:sz w:val="30"/>
          <w:szCs w:val="30"/>
          <w:cs/>
        </w:rPr>
        <w:t>การตรวจสอบการปฏิบัติงาน</w:t>
      </w:r>
    </w:p>
    <w:p w14:paraId="7100B9FF" w14:textId="2536CF3B" w:rsidR="00923183" w:rsidRPr="00ED00B1" w:rsidRDefault="00923183" w:rsidP="005A5F16">
      <w:pPr>
        <w:widowControl w:val="0"/>
        <w:ind w:firstLine="1276"/>
        <w:jc w:val="thaiDistribute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เพื่อให้มั่นใจว่าสมาชิกมีการพิจารณาการกำหนดวงเงินซื้อขายหลักทรัพย์สำหรับลูกค้า</w:t>
      </w:r>
      <w:r w:rsidR="000869A9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0869A9" w:rsidRPr="00ED00B1">
        <w:rPr>
          <w:rFonts w:ascii="DilleniaUPC" w:eastAsia="Calibri" w:hAnsi="DilleniaUPC" w:cs="DilleniaUPC"/>
          <w:sz w:val="30"/>
          <w:szCs w:val="30"/>
          <w:cs/>
        </w:rPr>
        <w:t xml:space="preserve">(รวมผู้เกี่ยวข้อง)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เป็นไปตามหลักเกณฑ์ที่กำหนด </w:t>
      </w:r>
      <w:r w:rsidR="00C92B8E" w:rsidRPr="00ED00B1">
        <w:rPr>
          <w:rFonts w:ascii="DilleniaUPC" w:eastAsia="Calibri" w:hAnsi="DilleniaUPC" w:cs="DilleniaUPC"/>
          <w:sz w:val="30"/>
          <w:szCs w:val="30"/>
          <w:cs/>
        </w:rPr>
        <w:t>ให้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สมาชิกจัดให้หัวหน้าสายงานที่เกี่ยวข้อง</w:t>
      </w:r>
      <w:r w:rsidR="007D7907" w:rsidRPr="00ED00B1">
        <w:rPr>
          <w:rFonts w:ascii="DilleniaUPC" w:eastAsia="Calibri" w:hAnsi="DilleniaUPC" w:cs="DilleniaUPC"/>
          <w:sz w:val="30"/>
          <w:szCs w:val="30"/>
          <w:cs/>
        </w:rPr>
        <w:t>กับการปฏิบัติตามแนวทางการปฏิบัตินี้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รวมถึงผู้บังคับบัญชาตามลำดับชั้น ติดตามดูแลกา</w:t>
      </w:r>
      <w:r w:rsidR="0009305C" w:rsidRPr="00ED00B1">
        <w:rPr>
          <w:rFonts w:ascii="DilleniaUPC" w:eastAsia="Calibri" w:hAnsi="DilleniaUPC" w:cs="DilleniaUPC"/>
          <w:sz w:val="30"/>
          <w:szCs w:val="30"/>
          <w:cs/>
        </w:rPr>
        <w:t>รปฏิบัติงานของผู้ใต้บังคับบัญชาอ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ย่างส</w:t>
      </w:r>
      <w:r w:rsidR="007D7907" w:rsidRPr="00ED00B1">
        <w:rPr>
          <w:rFonts w:ascii="DilleniaUPC" w:eastAsia="Calibri" w:hAnsi="DilleniaUPC" w:cs="DilleniaUPC"/>
          <w:sz w:val="30"/>
          <w:szCs w:val="30"/>
          <w:cs/>
        </w:rPr>
        <w:t>ม่ำ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เสมอ </w:t>
      </w:r>
      <w:r w:rsidR="007D7907" w:rsidRPr="00ED00B1">
        <w:rPr>
          <w:rFonts w:ascii="DilleniaUPC" w:eastAsia="Calibri" w:hAnsi="DilleniaUPC" w:cs="DilleniaUPC"/>
          <w:sz w:val="30"/>
          <w:szCs w:val="30"/>
          <w:cs/>
        </w:rPr>
        <w:t xml:space="preserve">รวมถึงสมาชิกจัดให้มีการกำกับดูแลการปฏิบัติงานดังกล่าวเพื่อการตรวจสอบถ่วงดุลอย่างเหมาะสม </w:t>
      </w:r>
    </w:p>
    <w:p w14:paraId="43EC5416" w14:textId="5DF6E91F" w:rsidR="00E94235" w:rsidRPr="00ED00B1" w:rsidRDefault="00D1409D" w:rsidP="00D35E7B">
      <w:pPr>
        <w:widowControl w:val="0"/>
        <w:tabs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ข้อ </w:t>
      </w:r>
      <w:r w:rsidRPr="00ED00B1">
        <w:rPr>
          <w:rFonts w:ascii="DilleniaUPC" w:eastAsia="Calibri" w:hAnsi="DilleniaUPC" w:cs="DilleniaUPC"/>
          <w:sz w:val="30"/>
          <w:szCs w:val="30"/>
        </w:rPr>
        <w:t>11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9270FF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ให้แนวทางการปฏิบัติงานนี้มีผลใช้บังคับตั้งแต่วันที่ </w:t>
      </w:r>
      <w:r w:rsidR="00E20A3A">
        <w:rPr>
          <w:rFonts w:ascii="DilleniaUPC" w:eastAsia="Calibri" w:hAnsi="DilleniaUPC" w:cs="DilleniaUPC"/>
          <w:sz w:val="30"/>
          <w:szCs w:val="30"/>
        </w:rPr>
        <w:t>15</w:t>
      </w:r>
      <w:r w:rsidR="009270FF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กันยายน </w:t>
      </w:r>
      <w:r w:rsidR="009270FF" w:rsidRPr="00ED00B1">
        <w:rPr>
          <w:rFonts w:ascii="DilleniaUPC" w:eastAsia="Calibri" w:hAnsi="DilleniaUPC" w:cs="DilleniaUPC"/>
          <w:sz w:val="30"/>
          <w:szCs w:val="30"/>
        </w:rPr>
        <w:t>2567</w:t>
      </w:r>
      <w:r w:rsidR="009270FF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เป็นต้นไป </w:t>
      </w:r>
      <w:r w:rsidR="00B67446" w:rsidRPr="00ED00B1">
        <w:rPr>
          <w:rFonts w:ascii="DilleniaUPC" w:hAnsi="DilleniaUPC" w:cs="DilleniaUPC" w:hint="cs"/>
          <w:sz w:val="30"/>
          <w:szCs w:val="30"/>
          <w:cs/>
        </w:rPr>
        <w:t>ยกเว้นบทบัญญัติในส่วนที่เกี่ยวข้องกับการ</w:t>
      </w:r>
      <w:r w:rsidR="00E34B0F" w:rsidRPr="00ED00B1">
        <w:rPr>
          <w:rFonts w:ascii="DilleniaUPC" w:hAnsi="DilleniaUPC" w:cs="DilleniaUPC" w:hint="cs"/>
          <w:sz w:val="30"/>
          <w:szCs w:val="30"/>
          <w:cs/>
        </w:rPr>
        <w:t>กำหนดหรือการ</w:t>
      </w:r>
      <w:r w:rsidR="00B67446" w:rsidRPr="00ED00B1">
        <w:rPr>
          <w:rFonts w:ascii="DilleniaUPC" w:hAnsi="DilleniaUPC" w:cs="DilleniaUPC" w:hint="cs"/>
          <w:sz w:val="30"/>
          <w:szCs w:val="30"/>
          <w:cs/>
        </w:rPr>
        <w:t>คำนวณอำนาจซื้อ</w:t>
      </w:r>
      <w:r w:rsidR="00F65F32" w:rsidRPr="00ED00B1">
        <w:rPr>
          <w:rFonts w:ascii="DilleniaUPC" w:hAnsi="DilleniaUPC" w:cs="DilleniaUPC" w:hint="cs"/>
          <w:sz w:val="30"/>
          <w:szCs w:val="30"/>
          <w:cs/>
        </w:rPr>
        <w:t xml:space="preserve">ให้มีผลใช้บังคับตั้งแต่วันที่ </w:t>
      </w:r>
      <w:r w:rsidR="00E20A3A">
        <w:rPr>
          <w:rFonts w:ascii="DilleniaUPC" w:hAnsi="DilleniaUPC" w:cs="DilleniaUPC"/>
          <w:sz w:val="30"/>
          <w:szCs w:val="30"/>
        </w:rPr>
        <w:t>1</w:t>
      </w:r>
      <w:r w:rsidR="00F65F32" w:rsidRPr="00ED00B1">
        <w:rPr>
          <w:rFonts w:ascii="DilleniaUPC" w:hAnsi="DilleniaUPC" w:cs="DilleniaUPC" w:hint="cs"/>
          <w:sz w:val="30"/>
          <w:szCs w:val="30"/>
          <w:cs/>
        </w:rPr>
        <w:t xml:space="preserve"> มกราคม </w:t>
      </w:r>
      <w:r w:rsidR="00F65F32" w:rsidRPr="00ED00B1">
        <w:rPr>
          <w:rFonts w:ascii="DilleniaUPC" w:hAnsi="DilleniaUPC" w:cs="DilleniaUPC"/>
          <w:sz w:val="30"/>
          <w:szCs w:val="30"/>
        </w:rPr>
        <w:t>2568</w:t>
      </w:r>
      <w:r w:rsidR="00F65F32" w:rsidRPr="00ED00B1">
        <w:rPr>
          <w:rFonts w:ascii="DilleniaUPC" w:hAnsi="DilleniaUPC" w:cs="DilleniaUPC" w:hint="cs"/>
          <w:sz w:val="30"/>
          <w:szCs w:val="30"/>
          <w:cs/>
        </w:rPr>
        <w:t xml:space="preserve"> เป็นต้นไป </w:t>
      </w:r>
    </w:p>
    <w:p w14:paraId="75663ED9" w14:textId="77777777" w:rsidR="00957887" w:rsidRPr="00ED00B1" w:rsidRDefault="00957887" w:rsidP="005C096D">
      <w:pPr>
        <w:widowControl w:val="0"/>
        <w:ind w:right="-85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51509415" w14:textId="2C486D49" w:rsidR="00E94235" w:rsidRPr="00ED00B1" w:rsidRDefault="00E94235" w:rsidP="005A5F16">
      <w:pPr>
        <w:pStyle w:val="BodyText"/>
        <w:widowControl w:val="0"/>
        <w:tabs>
          <w:tab w:val="center" w:pos="5812"/>
        </w:tabs>
        <w:spacing w:after="0"/>
        <w:ind w:right="-653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ab/>
        <w:t xml:space="preserve">ประกาศ ณ วันที่  </w:t>
      </w:r>
      <w:r w:rsidR="00D24EAE">
        <w:rPr>
          <w:rFonts w:ascii="DilleniaUPC" w:eastAsia="Calibri" w:hAnsi="DilleniaUPC" w:cs="DilleniaUPC"/>
          <w:sz w:val="30"/>
          <w:szCs w:val="30"/>
        </w:rPr>
        <w:t>30</w:t>
      </w:r>
      <w:r w:rsidR="00D24EAE">
        <w:rPr>
          <w:rFonts w:ascii="DilleniaUPC" w:eastAsia="Calibri" w:hAnsi="DilleniaUPC" w:cs="DilleniaUPC" w:hint="cs"/>
          <w:sz w:val="30"/>
          <w:szCs w:val="30"/>
          <w:cs/>
        </w:rPr>
        <w:t xml:space="preserve"> สิงหาคม</w:t>
      </w:r>
      <w:r w:rsidR="00D35E7B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D35E7B" w:rsidRPr="00ED00B1">
        <w:rPr>
          <w:rFonts w:ascii="DilleniaUPC" w:eastAsia="Calibri" w:hAnsi="DilleniaUPC" w:cs="DilleniaUPC"/>
          <w:sz w:val="30"/>
          <w:szCs w:val="30"/>
        </w:rPr>
        <w:t>2567</w:t>
      </w:r>
    </w:p>
    <w:p w14:paraId="12D386E8" w14:textId="0E23CB60" w:rsidR="00B0638F" w:rsidRPr="00ED00B1" w:rsidRDefault="00B0638F" w:rsidP="005A5F16">
      <w:pPr>
        <w:pStyle w:val="BodyText"/>
        <w:widowControl w:val="0"/>
        <w:tabs>
          <w:tab w:val="left" w:pos="567"/>
          <w:tab w:val="center" w:pos="5760"/>
        </w:tabs>
        <w:spacing w:after="0"/>
        <w:jc w:val="thaiDistribute"/>
        <w:rPr>
          <w:rFonts w:ascii="DilleniaUPC" w:hAnsi="DilleniaUPC" w:cs="DilleniaUPC"/>
          <w:sz w:val="30"/>
          <w:szCs w:val="30"/>
        </w:rPr>
      </w:pPr>
    </w:p>
    <w:p w14:paraId="31991847" w14:textId="77777777" w:rsidR="00C11FFD" w:rsidRPr="00ED00B1" w:rsidRDefault="00C11FFD" w:rsidP="005A5F16">
      <w:pPr>
        <w:pStyle w:val="BodyText"/>
        <w:widowControl w:val="0"/>
        <w:tabs>
          <w:tab w:val="left" w:pos="567"/>
          <w:tab w:val="center" w:pos="5760"/>
        </w:tabs>
        <w:spacing w:after="0"/>
        <w:jc w:val="thaiDistribute"/>
        <w:rPr>
          <w:rFonts w:ascii="DilleniaUPC" w:hAnsi="DilleniaUPC" w:cs="DilleniaUPC"/>
          <w:sz w:val="30"/>
          <w:szCs w:val="30"/>
        </w:rPr>
      </w:pPr>
    </w:p>
    <w:p w14:paraId="4967718D" w14:textId="77777777" w:rsidR="00957887" w:rsidRPr="00ED00B1" w:rsidRDefault="00957887" w:rsidP="005A5F16">
      <w:pPr>
        <w:pStyle w:val="BodyText"/>
        <w:widowControl w:val="0"/>
        <w:tabs>
          <w:tab w:val="left" w:pos="567"/>
          <w:tab w:val="center" w:pos="5760"/>
        </w:tabs>
        <w:spacing w:after="0"/>
        <w:jc w:val="thaiDistribute"/>
        <w:rPr>
          <w:rFonts w:ascii="DilleniaUPC" w:hAnsi="DilleniaUPC" w:cs="DilleniaUPC"/>
          <w:sz w:val="30"/>
          <w:szCs w:val="30"/>
        </w:rPr>
      </w:pPr>
    </w:p>
    <w:p w14:paraId="6855D517" w14:textId="19D9F214" w:rsidR="00E94235" w:rsidRPr="00ED00B1" w:rsidRDefault="00E94235" w:rsidP="00C11FFD">
      <w:pPr>
        <w:widowControl w:val="0"/>
        <w:tabs>
          <w:tab w:val="center" w:pos="5812"/>
        </w:tabs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hAnsi="DilleniaUPC" w:cs="DilleniaUPC"/>
          <w:sz w:val="30"/>
          <w:szCs w:val="30"/>
          <w:cs/>
        </w:rPr>
        <w:tab/>
        <w:t>(นา</w:t>
      </w:r>
      <w:r w:rsidR="00B84555" w:rsidRPr="00ED00B1">
        <w:rPr>
          <w:rFonts w:ascii="DilleniaUPC" w:hAnsi="DilleniaUPC" w:cs="DilleniaUPC" w:hint="cs"/>
          <w:sz w:val="30"/>
          <w:szCs w:val="30"/>
          <w:cs/>
        </w:rPr>
        <w:t>ยพิเชษฐ สิทธิอำนวย</w:t>
      </w:r>
      <w:r w:rsidRPr="00ED00B1">
        <w:rPr>
          <w:rFonts w:ascii="DilleniaUPC" w:hAnsi="DilleniaUPC" w:cs="DilleniaUPC"/>
          <w:sz w:val="30"/>
          <w:szCs w:val="30"/>
          <w:cs/>
        </w:rPr>
        <w:t>)</w:t>
      </w:r>
    </w:p>
    <w:p w14:paraId="775AE862" w14:textId="5625BE6E" w:rsidR="00C11FFD" w:rsidRPr="00ED00B1" w:rsidRDefault="00E94235" w:rsidP="00C11FFD">
      <w:pPr>
        <w:pStyle w:val="BodyText"/>
        <w:widowControl w:val="0"/>
        <w:tabs>
          <w:tab w:val="center" w:pos="5812"/>
        </w:tabs>
        <w:spacing w:after="0"/>
        <w:jc w:val="thaiDistribute"/>
        <w:rPr>
          <w:rFonts w:ascii="DilleniaUPC" w:eastAsia="Calibri" w:hAnsi="DilleniaUPC" w:cs="DilleniaUPC"/>
          <w:b/>
          <w:bCs/>
          <w:sz w:val="30"/>
          <w:szCs w:val="30"/>
          <w:cs/>
        </w:rPr>
      </w:pPr>
      <w:r w:rsidRPr="00ED00B1">
        <w:rPr>
          <w:rFonts w:ascii="DilleniaUPC" w:hAnsi="DilleniaUPC" w:cs="DilleniaUPC"/>
          <w:sz w:val="30"/>
          <w:szCs w:val="30"/>
          <w:cs/>
        </w:rPr>
        <w:tab/>
      </w:r>
      <w:r w:rsidRPr="00ED00B1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  <w:r w:rsidR="00C11FFD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br w:type="page"/>
      </w:r>
    </w:p>
    <w:p w14:paraId="23437D57" w14:textId="743A3046" w:rsidR="00923183" w:rsidRPr="00ED00B1" w:rsidRDefault="00923183" w:rsidP="005A5F16">
      <w:pPr>
        <w:widowControl w:val="0"/>
        <w:jc w:val="center"/>
        <w:rPr>
          <w:rFonts w:ascii="DilleniaUPC" w:eastAsia="Calibri" w:hAnsi="DilleniaUPC" w:cs="DilleniaUPC"/>
          <w:b/>
          <w:bCs/>
          <w:sz w:val="30"/>
          <w:szCs w:val="30"/>
        </w:rPr>
      </w:pPr>
      <w:r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lastRenderedPageBreak/>
        <w:t>ต</w:t>
      </w:r>
      <w:r w:rsidR="00BE2C0C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>ัวอย่างต่าง</w:t>
      </w:r>
      <w:r w:rsidR="00F873B0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 xml:space="preserve"> </w:t>
      </w:r>
      <w:r w:rsidR="00BE2C0C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>ๆ</w:t>
      </w:r>
      <w:r w:rsidR="00F873B0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 xml:space="preserve"> </w:t>
      </w:r>
      <w:r w:rsidR="00BE2C0C"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>เกี่ยวกับเรื่องการกำ</w:t>
      </w:r>
      <w:r w:rsidRPr="00ED00B1">
        <w:rPr>
          <w:rFonts w:ascii="DilleniaUPC" w:eastAsia="Calibri" w:hAnsi="DilleniaUPC" w:cs="DilleniaUPC"/>
          <w:b/>
          <w:bCs/>
          <w:sz w:val="30"/>
          <w:szCs w:val="30"/>
          <w:cs/>
        </w:rPr>
        <w:t>หนดวงเงินซื้อขายหลักทรัพย์ของลูกค้า</w:t>
      </w:r>
    </w:p>
    <w:p w14:paraId="6F2C25C7" w14:textId="68B395A9" w:rsidR="00923183" w:rsidRPr="00ED00B1" w:rsidRDefault="00923183" w:rsidP="005A5F1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b/>
          <w:bCs/>
          <w:sz w:val="30"/>
          <w:szCs w:val="30"/>
          <w:u w:val="single"/>
        </w:rPr>
      </w:pP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ตัวอย่างที่แสดงถึงความไม่เหมาะสมในเอกสารหรือข้อมูลประกอบการพิจารณากำหนดวงเงินให้ลูกค้าตามข้อ </w:t>
      </w:r>
      <w:r w:rsidR="00113A8F"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5</w:t>
      </w:r>
    </w:p>
    <w:p w14:paraId="0BB245D2" w14:textId="0C236CA0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1.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ลูกค้าไม่มีเอกสารประกอบหรือรายละเอียดเกี่ยวกับการเป็นเจ้าของกิจการ</w:t>
      </w:r>
    </w:p>
    <w:p w14:paraId="512D4CF3" w14:textId="5682AF6D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2.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แหล่งรายได้ไม่ชัดเจนและไม่มีหลักฐานยืนยันข้อมูลที่ลูกค้าให้ เช่น ลูกค้าแจ้งว่าได้รับมรดก หรือได้รับรายได้หรือทรัพย์สินจากคู่สมรส แต่ไม่นำส่ง 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Bank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tatement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เพื่อประกอบการพิจารณา หรือจำนวนเงินใน </w:t>
      </w:r>
      <w:r w:rsidR="00BE2C0C" w:rsidRPr="00ED00B1">
        <w:rPr>
          <w:rFonts w:ascii="DilleniaUPC" w:eastAsia="Calibri" w:hAnsi="DilleniaUPC" w:cs="DilleniaUPC"/>
          <w:sz w:val="30"/>
          <w:szCs w:val="30"/>
        </w:rPr>
        <w:t>B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ank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>tatement</w:t>
      </w:r>
      <w:r w:rsidR="0009305C" w:rsidRPr="00ED00B1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ไม่สะท้อนถึงมูลค่าที่แจ้งไว้</w:t>
      </w:r>
    </w:p>
    <w:p w14:paraId="51EDE0F1" w14:textId="499E45CD" w:rsidR="00923183" w:rsidRPr="00ED00B1" w:rsidRDefault="00923183" w:rsidP="005A5F16">
      <w:pPr>
        <w:widowControl w:val="0"/>
        <w:spacing w:before="120"/>
        <w:ind w:left="425" w:hanging="425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3.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ลูกค้าระบุว่ามี</w:t>
      </w:r>
      <w:r w:rsidR="00901060" w:rsidRPr="00ED00B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 </w:t>
      </w:r>
      <w:r w:rsidR="00E20A3A">
        <w:rPr>
          <w:rFonts w:ascii="DilleniaUPC" w:eastAsia="Calibri" w:hAnsi="DilleniaUPC" w:cs="DilleniaUPC"/>
          <w:sz w:val="30"/>
          <w:szCs w:val="30"/>
        </w:rPr>
        <w:t>P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ortfolio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แต่ไม่มีหลักฐานหรือมีหลักฐานที่ไม่สามารถใช้ยืนยันว่าลูกค้ามี</w:t>
      </w:r>
      <w:r w:rsidR="00901060" w:rsidRPr="00ED00B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ดังกล่าวจริง โดยตัวอย่างที่อาจแสดงได้ว่าลูกค้าเป็นเจ้าของหลักทรัพย์ใน </w:t>
      </w:r>
      <w:r w:rsidR="00E20A3A">
        <w:rPr>
          <w:rFonts w:ascii="DilleniaUPC" w:eastAsia="Calibri" w:hAnsi="DilleniaUPC" w:cs="DilleniaUPC"/>
          <w:sz w:val="30"/>
          <w:szCs w:val="30"/>
        </w:rPr>
        <w:t>P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ortfolio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ได้แก่ รายงานยอดคงเหลือทรัพย์สินของลูกค้า (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>tatement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) ที่ลูกค้าได้จากสมาชิกอื่น เป็นต้น</w:t>
      </w:r>
    </w:p>
    <w:p w14:paraId="2DDB4F26" w14:textId="144F3468" w:rsidR="00923183" w:rsidRPr="00ED00B1" w:rsidRDefault="00923183" w:rsidP="005A5F16">
      <w:pPr>
        <w:widowControl w:val="0"/>
        <w:spacing w:before="120"/>
        <w:ind w:left="425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4</w:t>
      </w:r>
      <w:r w:rsidR="00B52990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ลูกค้าไม่มีหลักฐานประกอบแสดงแหล่งที่มาของรายได้ที่ชัดเจน เช่น รายการใน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tatement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มีการเคลื่อนไหว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ของเงินในบัญชีหลักหมื่นบาท แต่แจ้งรายได้สูงถึงหลักแสนบาทต่อเดือน</w:t>
      </w:r>
    </w:p>
    <w:p w14:paraId="5178373A" w14:textId="6230E755" w:rsidR="00923183" w:rsidRPr="00ED00B1" w:rsidRDefault="00923183" w:rsidP="005A5F16">
      <w:pPr>
        <w:widowControl w:val="0"/>
        <w:spacing w:before="120"/>
        <w:ind w:left="425" w:hanging="425"/>
        <w:jc w:val="thaiDistribute"/>
        <w:rPr>
          <w:rFonts w:ascii="DilleniaUPC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5.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การให้วงเงินแก่ลูกค้าจากยอดเงินฝากที่สูงสุดใน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tatement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โดยไม่พิจารณาข้อมูลที่ปรากฏในรายการอื่นๆ ประกอบ ซึ่งอาจไม่แสดงถึงความสามารถในการชำระหนี้ที่แท้จริง</w:t>
      </w:r>
    </w:p>
    <w:p w14:paraId="0BEB7E6C" w14:textId="4D90EB88" w:rsidR="00923183" w:rsidRPr="00ED00B1" w:rsidRDefault="00923183" w:rsidP="005A5F16">
      <w:pPr>
        <w:widowControl w:val="0"/>
        <w:spacing w:before="120"/>
        <w:ind w:left="425" w:hanging="425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6</w:t>
      </w:r>
      <w:r w:rsidR="00B52990" w:rsidRPr="00ED00B1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วิธีการคำนวณจำนวนเงินฝากธนาคารเฉลี่ยย้อนหลัง 3 เดือน ไม่เหมาะสม เช่น การนำตัวเลขสูงสุด และต่ำสุด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ใน </w:t>
      </w:r>
      <w:r w:rsidR="00027B44" w:rsidRPr="00ED00B1">
        <w:rPr>
          <w:rFonts w:ascii="DilleniaUPC" w:eastAsia="Calibri" w:hAnsi="DilleniaUPC" w:cs="DilleniaUPC"/>
          <w:sz w:val="30"/>
          <w:szCs w:val="30"/>
        </w:rPr>
        <w:t>B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ank </w:t>
      </w:r>
      <w:r w:rsidR="00E20A3A">
        <w:rPr>
          <w:rFonts w:ascii="DilleniaUPC" w:eastAsia="Calibri" w:hAnsi="DilleniaUPC" w:cs="DilleniaUPC"/>
          <w:sz w:val="30"/>
          <w:szCs w:val="30"/>
        </w:rPr>
        <w:t>S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tatement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มาหาค่าเฉลี่ย หรือ นำตัวเลขสูงสุดมาคูณ 2 เท่า โดยไม่ได้เฉลี่ย ทำให้การประเมินความสามารถในการชำระหนี้ของลูกค้าไม่สมเหตุสมผล</w:t>
      </w:r>
    </w:p>
    <w:p w14:paraId="645D9A3F" w14:textId="01968A8F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7.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บัญชีเงินฝากธนาคารของลูกค้าที่ปรากฏข้อมูลย้อนหลังที่นำมาใช้พิจารณากำหนดวงเงินมีรายการไม่สมํ่าเสมอ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โดยมียอดสูงสุดที่แตกต่างจากยอดอื่นอย่างก้าวกระโดดและไม่มีเหตุอันสมควร และบางกรณีมีการถอนยอดทั้งหมดหรือในจำนวนที่มีนัยสำคัญออกในวันถัดไปหรือทยอยถอนออกในระยะเวลาอันใกล้</w:t>
      </w:r>
    </w:p>
    <w:p w14:paraId="42573DE2" w14:textId="42CE8BD1" w:rsidR="00037E90" w:rsidRPr="00ED00B1" w:rsidRDefault="00143290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8.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037E90" w:rsidRPr="00ED00B1">
        <w:rPr>
          <w:rFonts w:ascii="DilleniaUPC" w:eastAsia="Calibri" w:hAnsi="DilleniaUPC" w:cs="DilleniaUPC"/>
          <w:sz w:val="30"/>
          <w:szCs w:val="30"/>
          <w:cs/>
        </w:rPr>
        <w:t>หลักทรัพย์ที่ลูกค้านำมาแสดงหรือวางหลักประกันมี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มูลค่าเปลี่ยนแปลงสูงขึ้นมากในระยะเวลาอันสั้นโดยไม่มีปัจจัยพื้นฐานรองรับ </w:t>
      </w:r>
      <w:r w:rsidR="00C633AC" w:rsidRPr="00ED00B1">
        <w:rPr>
          <w:rFonts w:ascii="DilleniaUPC" w:eastAsia="Calibri" w:hAnsi="DilleniaUPC" w:cs="DilleniaUPC"/>
          <w:sz w:val="30"/>
          <w:szCs w:val="30"/>
          <w:cs/>
        </w:rPr>
        <w:t xml:space="preserve">เช่น ผลประกอบการของบริษัทมีกำไรแต่เป็นกำไรพิเศษที่ไม่ได้มาจากการดำเนินงานตามปกติ </w:t>
      </w:r>
      <w:r w:rsidR="00700EC7" w:rsidRPr="00ED00B1">
        <w:rPr>
          <w:rFonts w:ascii="DilleniaUPC" w:eastAsia="Calibri" w:hAnsi="DilleniaUPC" w:cs="DilleniaUPC"/>
          <w:sz w:val="30"/>
          <w:szCs w:val="30"/>
          <w:cs/>
        </w:rPr>
        <w:t>และ</w:t>
      </w:r>
      <w:r w:rsidR="00620BE9" w:rsidRPr="00ED00B1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="00700EC7" w:rsidRPr="00ED00B1">
        <w:rPr>
          <w:rFonts w:ascii="DilleniaUPC" w:eastAsia="Calibri" w:hAnsi="DilleniaUPC" w:cs="DilleniaUPC"/>
          <w:sz w:val="30"/>
          <w:szCs w:val="30"/>
          <w:cs/>
        </w:rPr>
        <w:t>ใช้ราคาล่าสุดมาใช้ในการกำหนดวงเงิน</w:t>
      </w:r>
    </w:p>
    <w:p w14:paraId="426C0166" w14:textId="3DDA7CCE" w:rsidR="00143290" w:rsidRPr="00ED00B1" w:rsidRDefault="00037E90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9.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="00700EC7" w:rsidRPr="00ED00B1">
        <w:rPr>
          <w:rFonts w:ascii="DilleniaUPC" w:eastAsia="Calibri" w:hAnsi="DilleniaUPC" w:cs="DilleniaUPC"/>
          <w:sz w:val="30"/>
          <w:szCs w:val="30"/>
          <w:cs/>
        </w:rPr>
        <w:t>การกำหนดวงเงินจาก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หลักทรัพย์ที่ลูกค้านำมาแสดงหรือวางหลักประกัน</w:t>
      </w:r>
      <w:r w:rsidR="00700EC7" w:rsidRPr="00ED00B1">
        <w:rPr>
          <w:rFonts w:ascii="DilleniaUPC" w:eastAsia="Calibri" w:hAnsi="DilleniaUPC" w:cs="DilleniaUPC"/>
          <w:sz w:val="30"/>
          <w:szCs w:val="30"/>
          <w:cs/>
        </w:rPr>
        <w:t>ที่</w:t>
      </w:r>
      <w:r w:rsidR="00143290" w:rsidRPr="00ED00B1">
        <w:rPr>
          <w:rFonts w:ascii="DilleniaUPC" w:eastAsia="Calibri" w:hAnsi="DilleniaUPC" w:cs="DilleniaUPC"/>
          <w:sz w:val="30"/>
          <w:szCs w:val="30"/>
          <w:cs/>
        </w:rPr>
        <w:t>มีการกระจุกตัวจำนวนมากจนอาจมีปัญหาสภาพคล่อง</w:t>
      </w:r>
      <w:r w:rsidR="00700EC7" w:rsidRPr="00ED00B1">
        <w:rPr>
          <w:rFonts w:ascii="DilleniaUPC" w:eastAsia="Calibri" w:hAnsi="DilleniaUPC" w:cs="DilleniaUPC"/>
          <w:sz w:val="30"/>
          <w:szCs w:val="30"/>
          <w:cs/>
        </w:rPr>
        <w:t>หากต้องการ</w:t>
      </w:r>
      <w:r w:rsidR="00143290" w:rsidRPr="00ED00B1">
        <w:rPr>
          <w:rFonts w:ascii="DilleniaUPC" w:eastAsia="Calibri" w:hAnsi="DilleniaUPC" w:cs="DilleniaUPC"/>
          <w:sz w:val="30"/>
          <w:szCs w:val="30"/>
          <w:cs/>
        </w:rPr>
        <w:t>ขาย</w:t>
      </w:r>
    </w:p>
    <w:p w14:paraId="21477E3E" w14:textId="77777777" w:rsidR="00A01FA1" w:rsidRPr="00ED00B1" w:rsidRDefault="00A01FA1" w:rsidP="005A5F1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b/>
          <w:bCs/>
          <w:sz w:val="30"/>
          <w:szCs w:val="30"/>
          <w:u w:val="single"/>
        </w:rPr>
      </w:pPr>
    </w:p>
    <w:p w14:paraId="69948D37" w14:textId="77777777" w:rsidR="00E51081" w:rsidRPr="00ED00B1" w:rsidRDefault="00E51081" w:rsidP="005A5F16">
      <w:pPr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</w:pP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br w:type="page"/>
      </w:r>
    </w:p>
    <w:p w14:paraId="75F358BF" w14:textId="7E68A438" w:rsidR="00923183" w:rsidRPr="00ED00B1" w:rsidRDefault="00923183" w:rsidP="005A5F1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b/>
          <w:bCs/>
          <w:sz w:val="30"/>
          <w:szCs w:val="30"/>
          <w:u w:val="single"/>
        </w:rPr>
      </w:pP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lastRenderedPageBreak/>
        <w:t>ตัวอย่างกรณีที่</w:t>
      </w:r>
      <w:r w:rsidR="00620BE9" w:rsidRPr="00ED00B1">
        <w:rPr>
          <w:rFonts w:ascii="DilleniaUPC" w:eastAsia="Calibri" w:hAnsi="DilleniaUPC" w:cs="DilleniaUPC" w:hint="cs"/>
          <w:b/>
          <w:bCs/>
          <w:sz w:val="30"/>
          <w:szCs w:val="30"/>
          <w:u w:val="single"/>
          <w:cs/>
        </w:rPr>
        <w:t>สมาชิก</w:t>
      </w: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ควรทบทวนวงเงินซื้อขายหลักทรัพย์ของลูกค้าและรวมถึงทบทวนการทำ </w:t>
      </w: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KYC</w:t>
      </w: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>/</w:t>
      </w: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CDD</w:t>
      </w:r>
      <w:r w:rsidR="00BE2C0C"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 </w:t>
      </w:r>
      <w:r w:rsidR="00B1281C"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br/>
      </w:r>
      <w:r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ตามข้อ </w:t>
      </w:r>
      <w:r w:rsidR="00113A8F"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5</w:t>
      </w:r>
      <w:r w:rsidR="00113A8F" w:rsidRPr="00ED00B1">
        <w:rPr>
          <w:rFonts w:ascii="DilleniaUPC" w:eastAsia="Calibri" w:hAnsi="DilleniaUPC" w:cs="DilleniaUPC" w:hint="cs"/>
          <w:b/>
          <w:bCs/>
          <w:sz w:val="30"/>
          <w:szCs w:val="30"/>
          <w:u w:val="single"/>
          <w:cs/>
        </w:rPr>
        <w:t xml:space="preserve"> </w:t>
      </w:r>
      <w:r w:rsidR="00315EDF" w:rsidRPr="00ED00B1">
        <w:rPr>
          <w:rFonts w:ascii="DilleniaUPC" w:eastAsia="Calibri" w:hAnsi="DilleniaUPC" w:cs="DilleniaUPC" w:hint="cs"/>
          <w:b/>
          <w:bCs/>
          <w:sz w:val="30"/>
          <w:szCs w:val="30"/>
          <w:u w:val="single"/>
          <w:cs/>
        </w:rPr>
        <w:t xml:space="preserve">และ ข้อ </w:t>
      </w:r>
      <w:r w:rsidR="00113A8F" w:rsidRPr="00ED00B1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9</w:t>
      </w:r>
    </w:p>
    <w:p w14:paraId="13A08CE1" w14:textId="2557F9EC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1.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ลูกค้าโอนเงินหรือหลักทรัพย์เข้าบัญชีเพื่อเพิ่มวงเงิน และมีการโอนเงินหรือหลักทรัพย์ดังกล่าวออกไปยังบัญชี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ของตนเอง หรือบุคคลอื่นที่</w:t>
      </w:r>
      <w:r w:rsidR="00620BE9" w:rsidRPr="00ED00B1">
        <w:rPr>
          <w:rFonts w:ascii="DilleniaUPC" w:eastAsia="Calibri" w:hAnsi="DilleniaUPC" w:cs="DilleniaUPC" w:hint="cs"/>
          <w:sz w:val="30"/>
          <w:szCs w:val="30"/>
          <w:cs/>
        </w:rPr>
        <w:t>สมาชิก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แห่งอื่นซึ่งอาจหมายถึงลูกค้ามีการใช้หลักทรัพย์เดิมเวียนเป็นหลักประกัน</w:t>
      </w:r>
      <w:r w:rsidR="00CF3EA3" w:rsidRPr="00ED00B1">
        <w:rPr>
          <w:rFonts w:ascii="DilleniaUPC" w:eastAsia="Calibri" w:hAnsi="DilleniaUPC" w:cs="DilleniaUPC"/>
          <w:sz w:val="30"/>
          <w:szCs w:val="30"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เพิ่มวงเงินอีกหลาย</w:t>
      </w:r>
      <w:r w:rsidR="00B417BD" w:rsidRPr="00ED00B1">
        <w:rPr>
          <w:rFonts w:ascii="DilleniaUPC" w:eastAsia="Calibri" w:hAnsi="DilleniaUPC" w:cs="DilleniaUPC" w:hint="cs"/>
          <w:sz w:val="30"/>
          <w:szCs w:val="30"/>
          <w:cs/>
        </w:rPr>
        <w:t>สมาชิก</w:t>
      </w:r>
    </w:p>
    <w:p w14:paraId="11494006" w14:textId="72F722AC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2.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มีการขอเพิ่มวงเงินเพิ่มจำนวนมากในระยะเวลาอันสั้น</w:t>
      </w:r>
    </w:p>
    <w:p w14:paraId="4229E711" w14:textId="1C9FC6AB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3.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ลูกค้ามีการเปลี่ยนแปลงที่อยู่ในการรับเอกสาร เปลี่ยน </w:t>
      </w:r>
      <w:r w:rsidR="00E20A3A">
        <w:rPr>
          <w:rFonts w:ascii="DilleniaUPC" w:eastAsia="Calibri" w:hAnsi="DilleniaUPC" w:cs="DilleniaUPC"/>
          <w:sz w:val="30"/>
          <w:szCs w:val="30"/>
        </w:rPr>
        <w:t>E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mail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ในการติดต่อ เปลี่ยนลายเซ็นหลังเริ่มซื้อขายไม่นาน หรือมีการเปลี่ยนแปลงที่อยู่มากกว่า 1 ครั้งในระยะเวลาใกล้เคียง</w:t>
      </w:r>
    </w:p>
    <w:p w14:paraId="5C925C8D" w14:textId="404BB46A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4.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ลูกค้าหลายรายมีการใช้ที่อยู่ติดต่อหรือ </w:t>
      </w:r>
      <w:r w:rsidR="00E20A3A">
        <w:rPr>
          <w:rFonts w:ascii="DilleniaUPC" w:eastAsia="Calibri" w:hAnsi="DilleniaUPC" w:cs="DilleniaUPC"/>
          <w:sz w:val="30"/>
          <w:szCs w:val="30"/>
        </w:rPr>
        <w:t>E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mail </w:t>
      </w:r>
      <w:r w:rsidR="00E20A3A">
        <w:rPr>
          <w:rFonts w:ascii="DilleniaUPC" w:eastAsia="Calibri" w:hAnsi="DilleniaUPC" w:cs="DilleniaUPC"/>
          <w:sz w:val="30"/>
          <w:szCs w:val="30"/>
        </w:rPr>
        <w:t>A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ddress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หรือ 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IP </w:t>
      </w:r>
      <w:r w:rsidR="00E20A3A">
        <w:rPr>
          <w:rFonts w:ascii="DilleniaUPC" w:eastAsia="Calibri" w:hAnsi="DilleniaUPC" w:cs="DilleniaUPC"/>
          <w:sz w:val="30"/>
          <w:szCs w:val="30"/>
        </w:rPr>
        <w:t>A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ddress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เดียวกัน</w:t>
      </w:r>
    </w:p>
    <w:p w14:paraId="75F58435" w14:textId="734B2A08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  <w:cs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5.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ลูกค้าที่ตลาดหลักทรัพย์ หรือหน่วยงานกำกับดูแลที่เกี่ยวข้องมีข้อสังเกต</w:t>
      </w:r>
    </w:p>
    <w:p w14:paraId="66DDD02D" w14:textId="57FDD103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6.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ลูกค้าที่มีการส่งคำสั่งซื้อขายที่อาจไม่เหมาะสมตามเกณฑ์ที่ตลาดหลักทรัพย์กำหนด</w:t>
      </w:r>
    </w:p>
    <w:p w14:paraId="66882FFA" w14:textId="7188393F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7.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ลูกค้าที่ซื้อขายหลักทรัพย์ที่เข้าเกณฑ์ </w:t>
      </w:r>
      <w:r w:rsidR="00287093" w:rsidRPr="00ED00B1">
        <w:rPr>
          <w:rFonts w:ascii="DilleniaUPC" w:eastAsia="Calibri" w:hAnsi="DilleniaUPC" w:cs="DilleniaUPC"/>
          <w:sz w:val="30"/>
          <w:szCs w:val="30"/>
        </w:rPr>
        <w:t>Cash B</w:t>
      </w:r>
      <w:r w:rsidRPr="00ED00B1">
        <w:rPr>
          <w:rFonts w:ascii="DilleniaUPC" w:eastAsia="Calibri" w:hAnsi="DilleniaUPC" w:cs="DilleniaUPC"/>
          <w:sz w:val="30"/>
          <w:szCs w:val="30"/>
        </w:rPr>
        <w:t xml:space="preserve">alance 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จำนวนมากเมื่อเทียบกับการซื้อขายรวมของลูกค้า</w:t>
      </w:r>
    </w:p>
    <w:p w14:paraId="11A57DAA" w14:textId="009779AE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8.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ลูกค้ามีการโอนหลักทรัพย์จากบัญชีไปยังบุคคลอื่นในจำนวนครั้งและปริมาณที่เกินความเหมาะสม</w:t>
      </w:r>
    </w:p>
    <w:p w14:paraId="14D28F31" w14:textId="4C207DE5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9.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ลูกค้ามีการโอนเงินเข้าออกถี่ และลูกค้ามีเลขที่บัญชีในการรับโอนหลายบัญชี</w:t>
      </w:r>
    </w:p>
    <w:p w14:paraId="6CCC199F" w14:textId="74AF1B69" w:rsidR="00923183" w:rsidRPr="00ED00B1" w:rsidRDefault="00923183" w:rsidP="005A5F16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10</w:t>
      </w:r>
      <w:r w:rsidR="00907FE7" w:rsidRPr="00ED00B1">
        <w:rPr>
          <w:rFonts w:ascii="DilleniaUPC" w:eastAsia="Calibri" w:hAnsi="DilleniaUPC" w:cs="DilleniaUPC"/>
          <w:sz w:val="30"/>
          <w:szCs w:val="30"/>
          <w:cs/>
        </w:rPr>
        <w:t>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 xml:space="preserve">ลูกค้าที่มีเอกสาร เช่น ใบยืนยันซื้อขายหลักทรัพย์ รายการแสดงทรัพย์สิน ตีคืนกลับเป็นประจำบ่อยครั้ง 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โดยไม่สามารถหาสาเหตุหรือติดต่อลูกค้าได้</w:t>
      </w:r>
    </w:p>
    <w:p w14:paraId="6CFFEC42" w14:textId="79F4926A" w:rsidR="0011539E" w:rsidRPr="00ED00B1" w:rsidRDefault="00923183" w:rsidP="005A5F16">
      <w:pPr>
        <w:widowControl w:val="0"/>
        <w:spacing w:before="120"/>
        <w:ind w:left="425" w:hanging="425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11.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ลูกค้าที่มีรายการที่อาจเข้าข่ายธุรกรรมต้องสงสัย (</w:t>
      </w:r>
      <w:r w:rsidRPr="00ED00B1">
        <w:rPr>
          <w:rFonts w:ascii="DilleniaUPC" w:eastAsia="Calibri" w:hAnsi="DilleniaUPC" w:cs="DilleniaUPC"/>
          <w:sz w:val="30"/>
          <w:szCs w:val="30"/>
        </w:rPr>
        <w:t>STR</w:t>
      </w:r>
      <w:r w:rsidRPr="00ED00B1">
        <w:rPr>
          <w:rFonts w:ascii="DilleniaUPC" w:eastAsia="Calibri" w:hAnsi="DilleniaUPC" w:cs="DilleniaUPC"/>
          <w:sz w:val="30"/>
          <w:szCs w:val="30"/>
          <w:cs/>
        </w:rPr>
        <w:t>)</w:t>
      </w:r>
    </w:p>
    <w:p w14:paraId="2631E3EB" w14:textId="1481940F" w:rsidR="007856FE" w:rsidRPr="00ED00B1" w:rsidRDefault="00C633AC" w:rsidP="005A5F16">
      <w:pPr>
        <w:widowControl w:val="0"/>
        <w:spacing w:before="120"/>
        <w:ind w:left="425" w:hanging="425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ED00B1">
        <w:rPr>
          <w:rFonts w:ascii="DilleniaUPC" w:eastAsia="Calibri" w:hAnsi="DilleniaUPC" w:cs="DilleniaUPC"/>
          <w:sz w:val="30"/>
          <w:szCs w:val="30"/>
          <w:cs/>
        </w:rPr>
        <w:t>12</w:t>
      </w:r>
      <w:r w:rsidR="007A7E53" w:rsidRPr="00ED00B1">
        <w:rPr>
          <w:rFonts w:ascii="DilleniaUPC" w:eastAsia="Calibri" w:hAnsi="DilleniaUPC" w:cs="DilleniaUPC"/>
          <w:sz w:val="30"/>
          <w:szCs w:val="30"/>
          <w:cs/>
        </w:rPr>
        <w:tab/>
      </w:r>
      <w:r w:rsidRPr="00ED00B1">
        <w:rPr>
          <w:rFonts w:ascii="DilleniaUPC" w:eastAsia="Calibri" w:hAnsi="DilleniaUPC" w:cs="DilleniaUPC"/>
          <w:sz w:val="30"/>
          <w:szCs w:val="30"/>
          <w:cs/>
        </w:rPr>
        <w:t>กรณีที่มีบุคคลใดบุคคลหนึ่งรับมอบอำนาจในการทำธุรกรรมแทนลูกค้าจำนวนหลายราย หรือ</w:t>
      </w:r>
      <w:bookmarkStart w:id="20" w:name="_Hlk139283118"/>
      <w:r w:rsidR="00075A2A" w:rsidRPr="00ED00B1">
        <w:rPr>
          <w:rFonts w:ascii="DilleniaUPC" w:eastAsia="Calibri" w:hAnsi="DilleniaUPC" w:cs="DilleniaUPC"/>
          <w:sz w:val="30"/>
          <w:szCs w:val="30"/>
          <w:cs/>
        </w:rPr>
        <w:t>ลูกค้า</w:t>
      </w:r>
      <w:r w:rsidR="00010E21" w:rsidRPr="00ED00B1">
        <w:rPr>
          <w:rFonts w:ascii="DilleniaUPC" w:eastAsia="Calibri" w:hAnsi="DilleniaUPC" w:cs="DilleniaUPC"/>
          <w:sz w:val="30"/>
          <w:szCs w:val="30"/>
          <w:cs/>
        </w:rPr>
        <w:t>มีพฤติกรรม</w:t>
      </w:r>
      <w:r w:rsidR="00A86793" w:rsidRPr="00ED00B1">
        <w:rPr>
          <w:rFonts w:ascii="DilleniaUPC" w:eastAsia="Calibri" w:hAnsi="DilleniaUPC" w:cs="DilleniaUPC"/>
          <w:sz w:val="30"/>
          <w:szCs w:val="30"/>
          <w:cs/>
        </w:rPr>
        <w:br/>
      </w:r>
      <w:r w:rsidR="00010E21" w:rsidRPr="00ED00B1">
        <w:rPr>
          <w:rFonts w:ascii="DilleniaUPC" w:eastAsia="Calibri" w:hAnsi="DilleniaUPC" w:cs="DilleniaUPC"/>
          <w:sz w:val="30"/>
          <w:szCs w:val="30"/>
          <w:cs/>
        </w:rPr>
        <w:t>อื่นใดที่อาจบ่งชี้ถึงการอำพรางชื่อเพื่อเปิดบัญชีซื้อขายหลักทรัพย์แทนผู้รับประโยชน์ที่แท้จริง (</w:t>
      </w:r>
      <w:r w:rsidR="00010E21" w:rsidRPr="00ED00B1">
        <w:rPr>
          <w:rFonts w:ascii="DilleniaUPC" w:eastAsia="Calibri" w:hAnsi="DilleniaUPC" w:cs="DilleniaUPC"/>
          <w:sz w:val="30"/>
          <w:szCs w:val="30"/>
        </w:rPr>
        <w:t>Nominee)</w:t>
      </w:r>
      <w:r w:rsidR="00010E21" w:rsidRPr="00ED00B1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bookmarkEnd w:id="20"/>
    </w:p>
    <w:p w14:paraId="7924BBCB" w14:textId="419849FF" w:rsidR="007856FE" w:rsidRPr="00ED00B1" w:rsidRDefault="007856FE" w:rsidP="005A5F16">
      <w:pPr>
        <w:rPr>
          <w:rFonts w:ascii="DilleniaUPC" w:hAnsi="DilleniaUPC" w:cs="DilleniaUPC"/>
          <w:b/>
          <w:bCs/>
          <w:sz w:val="30"/>
          <w:szCs w:val="30"/>
          <w:cs/>
        </w:rPr>
      </w:pPr>
    </w:p>
    <w:sectPr w:rsidR="007856FE" w:rsidRPr="00ED00B1" w:rsidSect="00E40B0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61" w:bottom="993" w:left="1797" w:header="567" w:footer="34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0524" w14:textId="77777777" w:rsidR="00FF24CE" w:rsidRDefault="00FF24CE" w:rsidP="00A87D06">
      <w:r>
        <w:separator/>
      </w:r>
    </w:p>
  </w:endnote>
  <w:endnote w:type="continuationSeparator" w:id="0">
    <w:p w14:paraId="429B675A" w14:textId="77777777" w:rsidR="00FF24CE" w:rsidRDefault="00FF24CE" w:rsidP="00A87D06">
      <w:r>
        <w:continuationSeparator/>
      </w:r>
    </w:p>
  </w:endnote>
  <w:endnote w:type="continuationNotice" w:id="1">
    <w:p w14:paraId="3B6043A2" w14:textId="77777777" w:rsidR="00FF24CE" w:rsidRDefault="00FF2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9FD8" w14:textId="2AB43413" w:rsidR="00EA4222" w:rsidRDefault="00EA42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E3E9970" wp14:editId="46BA4D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6" name="Text Box 6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FE49D" w14:textId="35721B1A" w:rsidR="00EA4222" w:rsidRPr="00EA4222" w:rsidRDefault="00EA4222" w:rsidP="00EA4222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Cs w:val="24"/>
                            </w:rPr>
                          </w:pPr>
                          <w:r w:rsidRPr="00EA4222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Cs w:val="24"/>
                            </w:rPr>
                            <w:t xml:space="preserve">SEC Classification : </w:t>
                          </w:r>
                          <w:r w:rsidRPr="00EA4222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Cs w:val="24"/>
                              <w:cs/>
                            </w:rPr>
                            <w:t>ใช้ภายใน (</w:t>
                          </w:r>
                          <w:r w:rsidRPr="00EA4222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E9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 Classification : ใช้ภายใน (Internal) 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7FE49D" w14:textId="35721B1A" w:rsidR="00EA4222" w:rsidRPr="00EA4222" w:rsidRDefault="00EA4222" w:rsidP="00EA4222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Cs w:val="24"/>
                      </w:rPr>
                    </w:pPr>
                    <w:r w:rsidRPr="00EA4222">
                      <w:rPr>
                        <w:rFonts w:ascii="Tahoma" w:eastAsia="Tahoma" w:hAnsi="Tahoma" w:cs="Tahoma"/>
                        <w:noProof/>
                        <w:color w:val="C0C0C0"/>
                        <w:szCs w:val="24"/>
                      </w:rPr>
                      <w:t xml:space="preserve">SEC Classification : </w:t>
                    </w:r>
                    <w:r w:rsidRPr="00EA4222">
                      <w:rPr>
                        <w:rFonts w:ascii="Tahoma" w:eastAsia="Tahoma" w:hAnsi="Tahoma" w:cs="Tahoma"/>
                        <w:noProof/>
                        <w:color w:val="C0C0C0"/>
                        <w:szCs w:val="24"/>
                        <w:cs/>
                      </w:rPr>
                      <w:t>ใช้ภายใน (</w:t>
                    </w:r>
                    <w:r w:rsidRPr="00EA4222">
                      <w:rPr>
                        <w:rFonts w:ascii="Tahoma" w:eastAsia="Tahoma" w:hAnsi="Tahoma" w:cs="Tahoma"/>
                        <w:noProof/>
                        <w:color w:val="C0C0C0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AB2" w14:textId="4639BCEF" w:rsidR="00630072" w:rsidRPr="00E87C51" w:rsidRDefault="00630072" w:rsidP="0047748A">
    <w:pPr>
      <w:pStyle w:val="Footer"/>
      <w:ind w:right="-483"/>
      <w:jc w:val="right"/>
      <w:rPr>
        <w:rFonts w:ascii="BrowalliaUPC" w:hAnsi="BrowalliaUPC" w:cs="BrowalliaUPC"/>
        <w:b/>
        <w:bCs/>
        <w:sz w:val="20"/>
        <w:szCs w:val="20"/>
      </w:rPr>
    </w:pPr>
    <w:r w:rsidRPr="00E87C51">
      <w:rPr>
        <w:rFonts w:ascii="BrowalliaUPC" w:hAnsi="BrowalliaUPC" w:cs="BrowalliaUPC" w:hint="cs"/>
        <w:b/>
        <w:bCs/>
        <w:sz w:val="20"/>
        <w:szCs w:val="20"/>
        <w:cs/>
      </w:rPr>
      <w:t>การ</w:t>
    </w:r>
    <w:r>
      <w:rPr>
        <w:rFonts w:ascii="BrowalliaUPC" w:hAnsi="BrowalliaUPC" w:cs="BrowalliaUPC" w:hint="cs"/>
        <w:b/>
        <w:bCs/>
        <w:sz w:val="20"/>
        <w:szCs w:val="20"/>
        <w:cs/>
      </w:rPr>
      <w:t>พิจารณากำหนดวงเงิน</w:t>
    </w:r>
    <w:r w:rsidRPr="00E87C51">
      <w:rPr>
        <w:rFonts w:ascii="BrowalliaUPC" w:hAnsi="BrowalliaUPC" w:cs="BrowalliaUPC" w:hint="cs"/>
        <w:b/>
        <w:bCs/>
        <w:sz w:val="20"/>
        <w:szCs w:val="20"/>
        <w:cs/>
      </w:rPr>
      <w:t>ซื้อขายหลักทรัพย์</w:t>
    </w:r>
    <w:r>
      <w:rPr>
        <w:rFonts w:ascii="BrowalliaUPC" w:hAnsi="BrowalliaUPC" w:cs="BrowalliaUPC" w:hint="cs"/>
        <w:b/>
        <w:bCs/>
        <w:sz w:val="20"/>
        <w:szCs w:val="20"/>
        <w:cs/>
      </w:rPr>
      <w:t>ของลูกค้า</w:t>
    </w:r>
  </w:p>
  <w:p w14:paraId="3D74DB36" w14:textId="786D89E5" w:rsidR="00630072" w:rsidRDefault="00630072" w:rsidP="00FB490F">
    <w:pPr>
      <w:pStyle w:val="Footer"/>
      <w:ind w:right="-483"/>
      <w:jc w:val="right"/>
    </w:pPr>
    <w:r w:rsidRPr="0047748A">
      <w:rPr>
        <w:rFonts w:ascii="BrowalliaUPC" w:hAnsi="BrowalliaUPC" w:cs="BrowalliaUPC"/>
        <w:sz w:val="20"/>
        <w:szCs w:val="20"/>
        <w:cs/>
      </w:rPr>
      <w:t xml:space="preserve">หน้า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3764D6">
      <w:rPr>
        <w:rFonts w:ascii="BrowalliaUPC" w:hAnsi="BrowalliaUPC" w:cs="BrowalliaUPC"/>
        <w:b/>
        <w:bCs/>
        <w:noProof/>
        <w:sz w:val="20"/>
        <w:szCs w:val="20"/>
      </w:rPr>
      <w:t>3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  <w:cs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3764D6">
      <w:rPr>
        <w:rFonts w:ascii="BrowalliaUPC" w:hAnsi="BrowalliaUPC" w:cs="BrowalliaUPC"/>
        <w:b/>
        <w:bCs/>
        <w:noProof/>
        <w:sz w:val="20"/>
        <w:szCs w:val="20"/>
      </w:rPr>
      <w:t>6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03D3" w14:textId="2FE878FD" w:rsidR="007A7E53" w:rsidRPr="00E87C51" w:rsidRDefault="007A7E53" w:rsidP="007A7E53">
    <w:pPr>
      <w:pStyle w:val="Footer"/>
      <w:ind w:right="-483"/>
      <w:jc w:val="right"/>
      <w:rPr>
        <w:rFonts w:ascii="BrowalliaUPC" w:hAnsi="BrowalliaUPC" w:cs="BrowalliaUPC"/>
        <w:b/>
        <w:bCs/>
        <w:sz w:val="20"/>
        <w:szCs w:val="20"/>
      </w:rPr>
    </w:pPr>
    <w:r w:rsidRPr="00E87C51">
      <w:rPr>
        <w:rFonts w:ascii="BrowalliaUPC" w:hAnsi="BrowalliaUPC" w:cs="BrowalliaUPC" w:hint="cs"/>
        <w:b/>
        <w:bCs/>
        <w:sz w:val="20"/>
        <w:szCs w:val="20"/>
        <w:cs/>
      </w:rPr>
      <w:t>การ</w:t>
    </w:r>
    <w:r>
      <w:rPr>
        <w:rFonts w:ascii="BrowalliaUPC" w:hAnsi="BrowalliaUPC" w:cs="BrowalliaUPC" w:hint="cs"/>
        <w:b/>
        <w:bCs/>
        <w:sz w:val="20"/>
        <w:szCs w:val="20"/>
        <w:cs/>
      </w:rPr>
      <w:t>พิจารณากำหนดวงเงิน</w:t>
    </w:r>
    <w:r w:rsidRPr="00E87C51">
      <w:rPr>
        <w:rFonts w:ascii="BrowalliaUPC" w:hAnsi="BrowalliaUPC" w:cs="BrowalliaUPC" w:hint="cs"/>
        <w:b/>
        <w:bCs/>
        <w:sz w:val="20"/>
        <w:szCs w:val="20"/>
        <w:cs/>
      </w:rPr>
      <w:t>ซื้อขายหลักทรัพย์</w:t>
    </w:r>
    <w:r>
      <w:rPr>
        <w:rFonts w:ascii="BrowalliaUPC" w:hAnsi="BrowalliaUPC" w:cs="BrowalliaUPC" w:hint="cs"/>
        <w:b/>
        <w:bCs/>
        <w:sz w:val="20"/>
        <w:szCs w:val="20"/>
        <w:cs/>
      </w:rPr>
      <w:t>ของลูกค้า</w:t>
    </w:r>
  </w:p>
  <w:p w14:paraId="4CE4DBB1" w14:textId="0E18660F" w:rsidR="007A7E53" w:rsidRDefault="007A7E53" w:rsidP="007A7E53">
    <w:pPr>
      <w:pStyle w:val="Footer"/>
      <w:ind w:right="-432"/>
      <w:jc w:val="right"/>
    </w:pPr>
    <w:r w:rsidRPr="0047748A">
      <w:rPr>
        <w:rFonts w:ascii="BrowalliaUPC" w:hAnsi="BrowalliaUPC" w:cs="BrowalliaUPC"/>
        <w:sz w:val="20"/>
        <w:szCs w:val="20"/>
        <w:cs/>
      </w:rPr>
      <w:t xml:space="preserve">หน้า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>
      <w:rPr>
        <w:rFonts w:ascii="BrowalliaUPC" w:hAnsi="BrowalliaUPC" w:cs="BrowalliaUPC"/>
        <w:b/>
        <w:bCs/>
        <w:sz w:val="20"/>
        <w:szCs w:val="20"/>
      </w:rPr>
      <w:t>2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  <w:cs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>
      <w:rPr>
        <w:rFonts w:ascii="BrowalliaUPC" w:hAnsi="BrowalliaUPC" w:cs="BrowalliaUPC"/>
        <w:b/>
        <w:bCs/>
        <w:sz w:val="20"/>
        <w:szCs w:val="20"/>
      </w:rPr>
      <w:t>8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BD23" w14:textId="77777777" w:rsidR="00FF24CE" w:rsidRDefault="00FF24CE" w:rsidP="00A87D06">
      <w:r>
        <w:separator/>
      </w:r>
    </w:p>
  </w:footnote>
  <w:footnote w:type="continuationSeparator" w:id="0">
    <w:p w14:paraId="4F30C64B" w14:textId="77777777" w:rsidR="00FF24CE" w:rsidRDefault="00FF24CE" w:rsidP="00A87D06">
      <w:r>
        <w:continuationSeparator/>
      </w:r>
    </w:p>
  </w:footnote>
  <w:footnote w:type="continuationNotice" w:id="1">
    <w:p w14:paraId="717A1A3A" w14:textId="77777777" w:rsidR="00FF24CE" w:rsidRDefault="00FF2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A5D9" w14:textId="5DB55ABB" w:rsidR="002D194E" w:rsidRDefault="002D1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C576" w14:textId="45341D46" w:rsidR="00820AA6" w:rsidRDefault="00BF29CD" w:rsidP="00BF29CD">
    <w:pPr>
      <w:pStyle w:val="Header"/>
      <w:tabs>
        <w:tab w:val="clear" w:pos="9026"/>
        <w:tab w:val="center" w:pos="4320"/>
        <w:tab w:val="left" w:pos="5663"/>
        <w:tab w:val="left" w:pos="7721"/>
      </w:tabs>
      <w:rPr>
        <w:rFonts w:ascii="DilleniaUPC" w:hAnsi="DilleniaUPC" w:cs="DilleniaUPC"/>
        <w:sz w:val="28"/>
      </w:rPr>
    </w:pPr>
    <w:r>
      <w:rPr>
        <w:rFonts w:ascii="DilleniaUPC" w:hAnsi="DilleniaUPC" w:cs="DilleniaUPC"/>
        <w:b/>
        <w:bCs/>
        <w:color w:val="000000" w:themeColor="text1"/>
        <w:sz w:val="36"/>
        <w:szCs w:val="36"/>
        <w:cs/>
      </w:rPr>
      <w:tab/>
    </w:r>
  </w:p>
  <w:p w14:paraId="58F56996" w14:textId="77777777" w:rsidR="0003571F" w:rsidRDefault="0003571F" w:rsidP="00BF29CD">
    <w:pPr>
      <w:pStyle w:val="Header"/>
      <w:tabs>
        <w:tab w:val="clear" w:pos="4513"/>
        <w:tab w:val="clear" w:pos="9026"/>
        <w:tab w:val="left" w:pos="6433"/>
      </w:tabs>
      <w:rPr>
        <w:rFonts w:ascii="DilleniaUPC" w:hAnsi="DilleniaUPC" w:cs="DilleniaUPC"/>
        <w:sz w:val="28"/>
      </w:rPr>
    </w:pPr>
  </w:p>
  <w:p w14:paraId="497C4554" w14:textId="7B53CD3C" w:rsidR="007A7E53" w:rsidRDefault="00957887" w:rsidP="00BF29CD">
    <w:pPr>
      <w:pStyle w:val="Header"/>
      <w:tabs>
        <w:tab w:val="clear" w:pos="4513"/>
        <w:tab w:val="clear" w:pos="9026"/>
        <w:tab w:val="left" w:pos="6433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A3C"/>
    <w:multiLevelType w:val="hybridMultilevel"/>
    <w:tmpl w:val="3C9812A4"/>
    <w:lvl w:ilvl="0" w:tplc="A84021C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68F3902"/>
    <w:multiLevelType w:val="hybridMultilevel"/>
    <w:tmpl w:val="4E8E31BA"/>
    <w:lvl w:ilvl="0" w:tplc="F80ECBEA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BE2006"/>
    <w:multiLevelType w:val="hybridMultilevel"/>
    <w:tmpl w:val="877AE76C"/>
    <w:lvl w:ilvl="0" w:tplc="DE2483FA">
      <w:start w:val="1"/>
      <w:numFmt w:val="decimal"/>
      <w:lvlText w:val="(%1)"/>
      <w:lvlJc w:val="left"/>
      <w:pPr>
        <w:ind w:left="1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3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88285E"/>
    <w:multiLevelType w:val="hybridMultilevel"/>
    <w:tmpl w:val="C87A6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A48"/>
    <w:multiLevelType w:val="hybridMultilevel"/>
    <w:tmpl w:val="E79282A8"/>
    <w:lvl w:ilvl="0" w:tplc="C4E4D556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2B36170"/>
    <w:multiLevelType w:val="hybridMultilevel"/>
    <w:tmpl w:val="1E1A27F4"/>
    <w:lvl w:ilvl="0" w:tplc="3154CA08">
      <w:start w:val="1"/>
      <w:numFmt w:val="decimal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2331442F"/>
    <w:multiLevelType w:val="hybridMultilevel"/>
    <w:tmpl w:val="11704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517F"/>
    <w:multiLevelType w:val="hybridMultilevel"/>
    <w:tmpl w:val="40288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DB4"/>
    <w:multiLevelType w:val="hybridMultilevel"/>
    <w:tmpl w:val="396EC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1CD7"/>
    <w:multiLevelType w:val="hybridMultilevel"/>
    <w:tmpl w:val="B8148522"/>
    <w:lvl w:ilvl="0" w:tplc="E12E548E">
      <w:start w:val="1"/>
      <w:numFmt w:val="thaiLetters"/>
      <w:lvlText w:val="(%1)"/>
      <w:lvlJc w:val="left"/>
      <w:pPr>
        <w:ind w:left="1964" w:hanging="360"/>
      </w:pPr>
      <w:rPr>
        <w:rFonts w:ascii="DilleniaUPC" w:hAnsi="DilleniaUPC" w:cs="DilleniaUPC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84" w:hanging="360"/>
      </w:pPr>
    </w:lvl>
    <w:lvl w:ilvl="2" w:tplc="0409001B" w:tentative="1">
      <w:start w:val="1"/>
      <w:numFmt w:val="lowerRoman"/>
      <w:lvlText w:val="%3."/>
      <w:lvlJc w:val="right"/>
      <w:pPr>
        <w:ind w:left="3404" w:hanging="180"/>
      </w:pPr>
    </w:lvl>
    <w:lvl w:ilvl="3" w:tplc="0409000F" w:tentative="1">
      <w:start w:val="1"/>
      <w:numFmt w:val="decimal"/>
      <w:lvlText w:val="%4."/>
      <w:lvlJc w:val="left"/>
      <w:pPr>
        <w:ind w:left="4124" w:hanging="360"/>
      </w:pPr>
    </w:lvl>
    <w:lvl w:ilvl="4" w:tplc="04090019" w:tentative="1">
      <w:start w:val="1"/>
      <w:numFmt w:val="lowerLetter"/>
      <w:lvlText w:val="%5."/>
      <w:lvlJc w:val="left"/>
      <w:pPr>
        <w:ind w:left="4844" w:hanging="360"/>
      </w:pPr>
    </w:lvl>
    <w:lvl w:ilvl="5" w:tplc="0409001B" w:tentative="1">
      <w:start w:val="1"/>
      <w:numFmt w:val="lowerRoman"/>
      <w:lvlText w:val="%6."/>
      <w:lvlJc w:val="right"/>
      <w:pPr>
        <w:ind w:left="5564" w:hanging="180"/>
      </w:pPr>
    </w:lvl>
    <w:lvl w:ilvl="6" w:tplc="0409000F" w:tentative="1">
      <w:start w:val="1"/>
      <w:numFmt w:val="decimal"/>
      <w:lvlText w:val="%7."/>
      <w:lvlJc w:val="left"/>
      <w:pPr>
        <w:ind w:left="6284" w:hanging="360"/>
      </w:pPr>
    </w:lvl>
    <w:lvl w:ilvl="7" w:tplc="04090019" w:tentative="1">
      <w:start w:val="1"/>
      <w:numFmt w:val="lowerLetter"/>
      <w:lvlText w:val="%8."/>
      <w:lvlJc w:val="left"/>
      <w:pPr>
        <w:ind w:left="7004" w:hanging="360"/>
      </w:pPr>
    </w:lvl>
    <w:lvl w:ilvl="8" w:tplc="040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11" w15:restartNumberingAfterBreak="0">
    <w:nsid w:val="2DBF2E34"/>
    <w:multiLevelType w:val="hybridMultilevel"/>
    <w:tmpl w:val="D256BD40"/>
    <w:lvl w:ilvl="0" w:tplc="D5AC9DFA">
      <w:start w:val="1"/>
      <w:numFmt w:val="decimal"/>
      <w:lvlText w:val="(%1)"/>
      <w:lvlJc w:val="left"/>
      <w:pPr>
        <w:ind w:left="149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DEE32FD"/>
    <w:multiLevelType w:val="hybridMultilevel"/>
    <w:tmpl w:val="621A1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50422"/>
    <w:multiLevelType w:val="hybridMultilevel"/>
    <w:tmpl w:val="FC82AC24"/>
    <w:lvl w:ilvl="0" w:tplc="4D925CA6">
      <w:start w:val="1"/>
      <w:numFmt w:val="decimal"/>
      <w:lvlText w:val="(%1)"/>
      <w:lvlJc w:val="left"/>
      <w:pPr>
        <w:ind w:left="2421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414C5303"/>
    <w:multiLevelType w:val="hybridMultilevel"/>
    <w:tmpl w:val="CA3297FC"/>
    <w:lvl w:ilvl="0" w:tplc="882EAF7C">
      <w:start w:val="1"/>
      <w:numFmt w:val="decimal"/>
      <w:lvlText w:val="(%1)"/>
      <w:lvlJc w:val="left"/>
      <w:pPr>
        <w:ind w:left="1494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EA22A9"/>
    <w:multiLevelType w:val="hybridMultilevel"/>
    <w:tmpl w:val="4FAA9F38"/>
    <w:lvl w:ilvl="0" w:tplc="BA3051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1D1CDF"/>
    <w:multiLevelType w:val="hybridMultilevel"/>
    <w:tmpl w:val="A0D8266A"/>
    <w:lvl w:ilvl="0" w:tplc="DE2483FA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490C1001"/>
    <w:multiLevelType w:val="hybridMultilevel"/>
    <w:tmpl w:val="C090D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240A"/>
    <w:multiLevelType w:val="hybridMultilevel"/>
    <w:tmpl w:val="C090DCB2"/>
    <w:lvl w:ilvl="0" w:tplc="14543F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C6B19"/>
    <w:multiLevelType w:val="hybridMultilevel"/>
    <w:tmpl w:val="764CC76A"/>
    <w:lvl w:ilvl="0" w:tplc="C8EED63C">
      <w:start w:val="1"/>
      <w:numFmt w:val="decimal"/>
      <w:lvlText w:val="(%1)"/>
      <w:lvlJc w:val="left"/>
      <w:pPr>
        <w:ind w:left="2059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2" w15:restartNumberingAfterBreak="0">
    <w:nsid w:val="518815C0"/>
    <w:multiLevelType w:val="hybridMultilevel"/>
    <w:tmpl w:val="E752E8EA"/>
    <w:lvl w:ilvl="0" w:tplc="F5B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102A0"/>
    <w:multiLevelType w:val="hybridMultilevel"/>
    <w:tmpl w:val="B36EF52A"/>
    <w:lvl w:ilvl="0" w:tplc="F8C2D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F04A99"/>
    <w:multiLevelType w:val="hybridMultilevel"/>
    <w:tmpl w:val="7C7C47E4"/>
    <w:lvl w:ilvl="0" w:tplc="826E220A">
      <w:start w:val="1"/>
      <w:numFmt w:val="decimal"/>
      <w:lvlText w:val="(%1)"/>
      <w:lvlJc w:val="left"/>
      <w:pPr>
        <w:ind w:left="241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26" w15:restartNumberingAfterBreak="0">
    <w:nsid w:val="608102FA"/>
    <w:multiLevelType w:val="hybridMultilevel"/>
    <w:tmpl w:val="D354F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223B6"/>
    <w:multiLevelType w:val="hybridMultilevel"/>
    <w:tmpl w:val="7B6C5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E27AB"/>
    <w:multiLevelType w:val="hybridMultilevel"/>
    <w:tmpl w:val="0EF05F78"/>
    <w:lvl w:ilvl="0" w:tplc="E45E7694">
      <w:start w:val="1"/>
      <w:numFmt w:val="thaiLetters"/>
      <w:lvlText w:val="(%1)"/>
      <w:lvlJc w:val="left"/>
      <w:pPr>
        <w:ind w:left="2421" w:hanging="360"/>
      </w:pPr>
      <w:rPr>
        <w:rFonts w:ascii="DilleniaUPC" w:hAnsi="DilleniaUPC" w:cs="DilleniaUPC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F8A53BB"/>
    <w:multiLevelType w:val="hybridMultilevel"/>
    <w:tmpl w:val="B016D81E"/>
    <w:lvl w:ilvl="0" w:tplc="ED6258FC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9962E6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766C"/>
    <w:multiLevelType w:val="hybridMultilevel"/>
    <w:tmpl w:val="85189092"/>
    <w:lvl w:ilvl="0" w:tplc="BD38A258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23F30"/>
    <w:multiLevelType w:val="hybridMultilevel"/>
    <w:tmpl w:val="9D58B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F0599"/>
    <w:multiLevelType w:val="hybridMultilevel"/>
    <w:tmpl w:val="C616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126AA"/>
    <w:multiLevelType w:val="hybridMultilevel"/>
    <w:tmpl w:val="EF9A655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99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68364">
    <w:abstractNumId w:val="24"/>
  </w:num>
  <w:num w:numId="2" w16cid:durableId="499195182">
    <w:abstractNumId w:val="3"/>
  </w:num>
  <w:num w:numId="3" w16cid:durableId="820972895">
    <w:abstractNumId w:val="17"/>
  </w:num>
  <w:num w:numId="4" w16cid:durableId="1489439121">
    <w:abstractNumId w:val="13"/>
  </w:num>
  <w:num w:numId="5" w16cid:durableId="1166633344">
    <w:abstractNumId w:val="10"/>
  </w:num>
  <w:num w:numId="6" w16cid:durableId="1252160345">
    <w:abstractNumId w:val="16"/>
  </w:num>
  <w:num w:numId="7" w16cid:durableId="1281760181">
    <w:abstractNumId w:val="23"/>
  </w:num>
  <w:num w:numId="8" w16cid:durableId="1543590622">
    <w:abstractNumId w:val="15"/>
  </w:num>
  <w:num w:numId="9" w16cid:durableId="1726685714">
    <w:abstractNumId w:val="11"/>
  </w:num>
  <w:num w:numId="10" w16cid:durableId="30494303">
    <w:abstractNumId w:val="0"/>
  </w:num>
  <w:num w:numId="11" w16cid:durableId="1199388635">
    <w:abstractNumId w:val="1"/>
  </w:num>
  <w:num w:numId="12" w16cid:durableId="1718620905">
    <w:abstractNumId w:val="20"/>
  </w:num>
  <w:num w:numId="13" w16cid:durableId="610743815">
    <w:abstractNumId w:val="19"/>
  </w:num>
  <w:num w:numId="14" w16cid:durableId="699017888">
    <w:abstractNumId w:val="32"/>
  </w:num>
  <w:num w:numId="15" w16cid:durableId="1093208571">
    <w:abstractNumId w:val="8"/>
  </w:num>
  <w:num w:numId="16" w16cid:durableId="886331136">
    <w:abstractNumId w:val="27"/>
  </w:num>
  <w:num w:numId="17" w16cid:durableId="1656689935">
    <w:abstractNumId w:val="7"/>
  </w:num>
  <w:num w:numId="18" w16cid:durableId="1366713400">
    <w:abstractNumId w:val="31"/>
  </w:num>
  <w:num w:numId="19" w16cid:durableId="1221282828">
    <w:abstractNumId w:val="9"/>
  </w:num>
  <w:num w:numId="20" w16cid:durableId="1154688453">
    <w:abstractNumId w:val="12"/>
  </w:num>
  <w:num w:numId="21" w16cid:durableId="1638074376">
    <w:abstractNumId w:val="30"/>
  </w:num>
  <w:num w:numId="22" w16cid:durableId="1647858421">
    <w:abstractNumId w:val="22"/>
  </w:num>
  <w:num w:numId="23" w16cid:durableId="147406123">
    <w:abstractNumId w:val="26"/>
  </w:num>
  <w:num w:numId="24" w16cid:durableId="83648425">
    <w:abstractNumId w:val="29"/>
  </w:num>
  <w:num w:numId="25" w16cid:durableId="132212631">
    <w:abstractNumId w:val="33"/>
  </w:num>
  <w:num w:numId="26" w16cid:durableId="1699546338">
    <w:abstractNumId w:val="4"/>
  </w:num>
  <w:num w:numId="27" w16cid:durableId="2001303258">
    <w:abstractNumId w:val="28"/>
  </w:num>
  <w:num w:numId="28" w16cid:durableId="2134014635">
    <w:abstractNumId w:val="18"/>
  </w:num>
  <w:num w:numId="29" w16cid:durableId="834147431">
    <w:abstractNumId w:val="5"/>
  </w:num>
  <w:num w:numId="30" w16cid:durableId="1011032183">
    <w:abstractNumId w:val="14"/>
  </w:num>
  <w:num w:numId="31" w16cid:durableId="794717571">
    <w:abstractNumId w:val="2"/>
  </w:num>
  <w:num w:numId="32" w16cid:durableId="720641266">
    <w:abstractNumId w:val="6"/>
  </w:num>
  <w:num w:numId="33" w16cid:durableId="182675765">
    <w:abstractNumId w:val="25"/>
  </w:num>
  <w:num w:numId="34" w16cid:durableId="923414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E3"/>
    <w:rsid w:val="00000EA1"/>
    <w:rsid w:val="000014B5"/>
    <w:rsid w:val="000025E8"/>
    <w:rsid w:val="0000347B"/>
    <w:rsid w:val="00003C0C"/>
    <w:rsid w:val="00004035"/>
    <w:rsid w:val="000040E3"/>
    <w:rsid w:val="00004679"/>
    <w:rsid w:val="00005A5C"/>
    <w:rsid w:val="00005FF9"/>
    <w:rsid w:val="00006A8D"/>
    <w:rsid w:val="00006D3A"/>
    <w:rsid w:val="00010E21"/>
    <w:rsid w:val="00010EFA"/>
    <w:rsid w:val="00014969"/>
    <w:rsid w:val="00016F09"/>
    <w:rsid w:val="00017F6F"/>
    <w:rsid w:val="00021EA2"/>
    <w:rsid w:val="00023696"/>
    <w:rsid w:val="00023D18"/>
    <w:rsid w:val="00023EDD"/>
    <w:rsid w:val="000242BA"/>
    <w:rsid w:val="00026D82"/>
    <w:rsid w:val="00027B44"/>
    <w:rsid w:val="00027B49"/>
    <w:rsid w:val="00031780"/>
    <w:rsid w:val="0003571F"/>
    <w:rsid w:val="000357FD"/>
    <w:rsid w:val="0003621D"/>
    <w:rsid w:val="000363B8"/>
    <w:rsid w:val="00036839"/>
    <w:rsid w:val="00036DFF"/>
    <w:rsid w:val="00037E90"/>
    <w:rsid w:val="0004020F"/>
    <w:rsid w:val="00040A96"/>
    <w:rsid w:val="000413C0"/>
    <w:rsid w:val="00042DAF"/>
    <w:rsid w:val="0004438D"/>
    <w:rsid w:val="00044956"/>
    <w:rsid w:val="00045000"/>
    <w:rsid w:val="000472F9"/>
    <w:rsid w:val="0004757E"/>
    <w:rsid w:val="00047766"/>
    <w:rsid w:val="000519E4"/>
    <w:rsid w:val="00051C0B"/>
    <w:rsid w:val="00054B6F"/>
    <w:rsid w:val="00056458"/>
    <w:rsid w:val="0005746A"/>
    <w:rsid w:val="000577B3"/>
    <w:rsid w:val="00057E29"/>
    <w:rsid w:val="00057E58"/>
    <w:rsid w:val="00060403"/>
    <w:rsid w:val="00060532"/>
    <w:rsid w:val="000606B0"/>
    <w:rsid w:val="000608E6"/>
    <w:rsid w:val="00060AB0"/>
    <w:rsid w:val="00060B62"/>
    <w:rsid w:val="00061564"/>
    <w:rsid w:val="00064B53"/>
    <w:rsid w:val="00064E07"/>
    <w:rsid w:val="00065E99"/>
    <w:rsid w:val="000667DF"/>
    <w:rsid w:val="00066DD7"/>
    <w:rsid w:val="00067324"/>
    <w:rsid w:val="00071025"/>
    <w:rsid w:val="000730F3"/>
    <w:rsid w:val="000735DE"/>
    <w:rsid w:val="00075112"/>
    <w:rsid w:val="00075A2A"/>
    <w:rsid w:val="000765CA"/>
    <w:rsid w:val="00076A5F"/>
    <w:rsid w:val="000771D2"/>
    <w:rsid w:val="00077F57"/>
    <w:rsid w:val="00080B6B"/>
    <w:rsid w:val="00081BB3"/>
    <w:rsid w:val="00082040"/>
    <w:rsid w:val="0008307F"/>
    <w:rsid w:val="00083117"/>
    <w:rsid w:val="0008370B"/>
    <w:rsid w:val="00083E78"/>
    <w:rsid w:val="00085317"/>
    <w:rsid w:val="000869A9"/>
    <w:rsid w:val="00086DD6"/>
    <w:rsid w:val="00087553"/>
    <w:rsid w:val="00087582"/>
    <w:rsid w:val="000875FE"/>
    <w:rsid w:val="0009163D"/>
    <w:rsid w:val="00091BBE"/>
    <w:rsid w:val="00092264"/>
    <w:rsid w:val="0009305C"/>
    <w:rsid w:val="00093442"/>
    <w:rsid w:val="00093A01"/>
    <w:rsid w:val="00095059"/>
    <w:rsid w:val="000951CD"/>
    <w:rsid w:val="000952FA"/>
    <w:rsid w:val="00095712"/>
    <w:rsid w:val="00097E0B"/>
    <w:rsid w:val="000A1F0B"/>
    <w:rsid w:val="000A2474"/>
    <w:rsid w:val="000A3623"/>
    <w:rsid w:val="000A51D0"/>
    <w:rsid w:val="000A5A3A"/>
    <w:rsid w:val="000A7A6D"/>
    <w:rsid w:val="000B092D"/>
    <w:rsid w:val="000B094E"/>
    <w:rsid w:val="000B0F5A"/>
    <w:rsid w:val="000B1DA1"/>
    <w:rsid w:val="000B37B6"/>
    <w:rsid w:val="000B4350"/>
    <w:rsid w:val="000B4A49"/>
    <w:rsid w:val="000B4F1B"/>
    <w:rsid w:val="000B707E"/>
    <w:rsid w:val="000C04E8"/>
    <w:rsid w:val="000C098D"/>
    <w:rsid w:val="000C0EE2"/>
    <w:rsid w:val="000C10F7"/>
    <w:rsid w:val="000C16EA"/>
    <w:rsid w:val="000C1D2B"/>
    <w:rsid w:val="000C2E47"/>
    <w:rsid w:val="000C34B3"/>
    <w:rsid w:val="000C3523"/>
    <w:rsid w:val="000C3668"/>
    <w:rsid w:val="000C3B22"/>
    <w:rsid w:val="000D0243"/>
    <w:rsid w:val="000D14CA"/>
    <w:rsid w:val="000D2EDA"/>
    <w:rsid w:val="000D33D9"/>
    <w:rsid w:val="000D4655"/>
    <w:rsid w:val="000D4FFF"/>
    <w:rsid w:val="000D577B"/>
    <w:rsid w:val="000E2077"/>
    <w:rsid w:val="000E4D59"/>
    <w:rsid w:val="000E63A4"/>
    <w:rsid w:val="000E73E3"/>
    <w:rsid w:val="000F1809"/>
    <w:rsid w:val="000F1F11"/>
    <w:rsid w:val="000F2753"/>
    <w:rsid w:val="000F3B13"/>
    <w:rsid w:val="000F47BE"/>
    <w:rsid w:val="000F496B"/>
    <w:rsid w:val="000F55E4"/>
    <w:rsid w:val="000F600C"/>
    <w:rsid w:val="000F78FE"/>
    <w:rsid w:val="00101C43"/>
    <w:rsid w:val="001032A1"/>
    <w:rsid w:val="00103633"/>
    <w:rsid w:val="0010370D"/>
    <w:rsid w:val="001045E4"/>
    <w:rsid w:val="00113A8F"/>
    <w:rsid w:val="00114475"/>
    <w:rsid w:val="0011539E"/>
    <w:rsid w:val="00115C8E"/>
    <w:rsid w:val="0011614C"/>
    <w:rsid w:val="0011635B"/>
    <w:rsid w:val="0011716B"/>
    <w:rsid w:val="001171FD"/>
    <w:rsid w:val="00120DC5"/>
    <w:rsid w:val="0012193F"/>
    <w:rsid w:val="0012506C"/>
    <w:rsid w:val="001251B4"/>
    <w:rsid w:val="00125CBF"/>
    <w:rsid w:val="0012614A"/>
    <w:rsid w:val="0012638D"/>
    <w:rsid w:val="00127AE8"/>
    <w:rsid w:val="00131716"/>
    <w:rsid w:val="00132F6B"/>
    <w:rsid w:val="00133EBF"/>
    <w:rsid w:val="00135187"/>
    <w:rsid w:val="001411E0"/>
    <w:rsid w:val="00141560"/>
    <w:rsid w:val="00143290"/>
    <w:rsid w:val="0014395E"/>
    <w:rsid w:val="00144512"/>
    <w:rsid w:val="00146769"/>
    <w:rsid w:val="001472D3"/>
    <w:rsid w:val="00147BA7"/>
    <w:rsid w:val="00147D0D"/>
    <w:rsid w:val="0015123A"/>
    <w:rsid w:val="00152790"/>
    <w:rsid w:val="00153174"/>
    <w:rsid w:val="00154386"/>
    <w:rsid w:val="00161467"/>
    <w:rsid w:val="00161D5D"/>
    <w:rsid w:val="00162C61"/>
    <w:rsid w:val="0016314E"/>
    <w:rsid w:val="001640A1"/>
    <w:rsid w:val="00165C94"/>
    <w:rsid w:val="001669FB"/>
    <w:rsid w:val="00170112"/>
    <w:rsid w:val="00170133"/>
    <w:rsid w:val="0017079E"/>
    <w:rsid w:val="00171380"/>
    <w:rsid w:val="0017141B"/>
    <w:rsid w:val="0017238C"/>
    <w:rsid w:val="00172522"/>
    <w:rsid w:val="0017358A"/>
    <w:rsid w:val="0017402B"/>
    <w:rsid w:val="00176B47"/>
    <w:rsid w:val="00177202"/>
    <w:rsid w:val="001804D6"/>
    <w:rsid w:val="00180AFE"/>
    <w:rsid w:val="0018322E"/>
    <w:rsid w:val="00184AC2"/>
    <w:rsid w:val="00184C50"/>
    <w:rsid w:val="00185DCF"/>
    <w:rsid w:val="001862A0"/>
    <w:rsid w:val="00186994"/>
    <w:rsid w:val="001879F3"/>
    <w:rsid w:val="001903BD"/>
    <w:rsid w:val="00190955"/>
    <w:rsid w:val="001935EE"/>
    <w:rsid w:val="00194BE3"/>
    <w:rsid w:val="001954B3"/>
    <w:rsid w:val="00196665"/>
    <w:rsid w:val="00196790"/>
    <w:rsid w:val="00197C1E"/>
    <w:rsid w:val="001A1DFF"/>
    <w:rsid w:val="001A3B79"/>
    <w:rsid w:val="001A3D7C"/>
    <w:rsid w:val="001A478B"/>
    <w:rsid w:val="001A6CDA"/>
    <w:rsid w:val="001A6D1A"/>
    <w:rsid w:val="001A7328"/>
    <w:rsid w:val="001A78F4"/>
    <w:rsid w:val="001A7CF4"/>
    <w:rsid w:val="001B00DE"/>
    <w:rsid w:val="001B0B0B"/>
    <w:rsid w:val="001B0BBC"/>
    <w:rsid w:val="001B0D39"/>
    <w:rsid w:val="001B2EC6"/>
    <w:rsid w:val="001B3963"/>
    <w:rsid w:val="001B48F1"/>
    <w:rsid w:val="001B4A27"/>
    <w:rsid w:val="001B59C2"/>
    <w:rsid w:val="001B5DB6"/>
    <w:rsid w:val="001B76BF"/>
    <w:rsid w:val="001B7E14"/>
    <w:rsid w:val="001C058C"/>
    <w:rsid w:val="001C19A0"/>
    <w:rsid w:val="001C3AC0"/>
    <w:rsid w:val="001C4151"/>
    <w:rsid w:val="001C44AC"/>
    <w:rsid w:val="001C48F5"/>
    <w:rsid w:val="001C5139"/>
    <w:rsid w:val="001C5184"/>
    <w:rsid w:val="001C51B5"/>
    <w:rsid w:val="001C5964"/>
    <w:rsid w:val="001C6195"/>
    <w:rsid w:val="001C6582"/>
    <w:rsid w:val="001C6C1D"/>
    <w:rsid w:val="001C7323"/>
    <w:rsid w:val="001C7616"/>
    <w:rsid w:val="001D09B6"/>
    <w:rsid w:val="001D1C05"/>
    <w:rsid w:val="001D231B"/>
    <w:rsid w:val="001D31C4"/>
    <w:rsid w:val="001D3487"/>
    <w:rsid w:val="001D34EA"/>
    <w:rsid w:val="001D3E33"/>
    <w:rsid w:val="001D504A"/>
    <w:rsid w:val="001D5B39"/>
    <w:rsid w:val="001E01DB"/>
    <w:rsid w:val="001E0341"/>
    <w:rsid w:val="001E0792"/>
    <w:rsid w:val="001E0C6D"/>
    <w:rsid w:val="001E1089"/>
    <w:rsid w:val="001E28E4"/>
    <w:rsid w:val="001E424D"/>
    <w:rsid w:val="001E5BAF"/>
    <w:rsid w:val="001E60DA"/>
    <w:rsid w:val="001E75B6"/>
    <w:rsid w:val="001F0345"/>
    <w:rsid w:val="001F1C3B"/>
    <w:rsid w:val="001F4C7B"/>
    <w:rsid w:val="001F6502"/>
    <w:rsid w:val="0020023A"/>
    <w:rsid w:val="00201CD6"/>
    <w:rsid w:val="00202472"/>
    <w:rsid w:val="002064D9"/>
    <w:rsid w:val="00207155"/>
    <w:rsid w:val="0021085B"/>
    <w:rsid w:val="00212188"/>
    <w:rsid w:val="00214381"/>
    <w:rsid w:val="0021472F"/>
    <w:rsid w:val="00215B8F"/>
    <w:rsid w:val="00216390"/>
    <w:rsid w:val="0022017C"/>
    <w:rsid w:val="00222957"/>
    <w:rsid w:val="00222DB4"/>
    <w:rsid w:val="0022409F"/>
    <w:rsid w:val="00225DB4"/>
    <w:rsid w:val="00227561"/>
    <w:rsid w:val="00230BD6"/>
    <w:rsid w:val="00230C51"/>
    <w:rsid w:val="00234890"/>
    <w:rsid w:val="00234E4E"/>
    <w:rsid w:val="00234FDC"/>
    <w:rsid w:val="00235283"/>
    <w:rsid w:val="002359C7"/>
    <w:rsid w:val="00236194"/>
    <w:rsid w:val="00236916"/>
    <w:rsid w:val="0023756A"/>
    <w:rsid w:val="00240C6A"/>
    <w:rsid w:val="00241DC5"/>
    <w:rsid w:val="0024206C"/>
    <w:rsid w:val="00242BFA"/>
    <w:rsid w:val="002447C6"/>
    <w:rsid w:val="00245BC9"/>
    <w:rsid w:val="00245DE4"/>
    <w:rsid w:val="002465F8"/>
    <w:rsid w:val="00247F7B"/>
    <w:rsid w:val="00250695"/>
    <w:rsid w:val="00251B2C"/>
    <w:rsid w:val="002536E8"/>
    <w:rsid w:val="00254405"/>
    <w:rsid w:val="00256443"/>
    <w:rsid w:val="00257834"/>
    <w:rsid w:val="0026026A"/>
    <w:rsid w:val="00260327"/>
    <w:rsid w:val="0026071C"/>
    <w:rsid w:val="00260C6C"/>
    <w:rsid w:val="00262280"/>
    <w:rsid w:val="0026242C"/>
    <w:rsid w:val="002637E8"/>
    <w:rsid w:val="00263C7D"/>
    <w:rsid w:val="00264BEC"/>
    <w:rsid w:val="002659D4"/>
    <w:rsid w:val="00265B2C"/>
    <w:rsid w:val="00265D81"/>
    <w:rsid w:val="00266772"/>
    <w:rsid w:val="00266C73"/>
    <w:rsid w:val="002675AD"/>
    <w:rsid w:val="00267688"/>
    <w:rsid w:val="00267FF2"/>
    <w:rsid w:val="002712B9"/>
    <w:rsid w:val="002736D7"/>
    <w:rsid w:val="00274376"/>
    <w:rsid w:val="00274452"/>
    <w:rsid w:val="002749F0"/>
    <w:rsid w:val="00275C4E"/>
    <w:rsid w:val="00276D63"/>
    <w:rsid w:val="00281B19"/>
    <w:rsid w:val="00281B29"/>
    <w:rsid w:val="002834E4"/>
    <w:rsid w:val="00284EF6"/>
    <w:rsid w:val="002853CA"/>
    <w:rsid w:val="00285EC7"/>
    <w:rsid w:val="00287093"/>
    <w:rsid w:val="00291E54"/>
    <w:rsid w:val="00293105"/>
    <w:rsid w:val="0029449E"/>
    <w:rsid w:val="00294E30"/>
    <w:rsid w:val="00296E12"/>
    <w:rsid w:val="00297C96"/>
    <w:rsid w:val="002A0B9D"/>
    <w:rsid w:val="002A1BB4"/>
    <w:rsid w:val="002A376E"/>
    <w:rsid w:val="002A474F"/>
    <w:rsid w:val="002A61A5"/>
    <w:rsid w:val="002B04EA"/>
    <w:rsid w:val="002B20CA"/>
    <w:rsid w:val="002B2350"/>
    <w:rsid w:val="002B29B3"/>
    <w:rsid w:val="002B7445"/>
    <w:rsid w:val="002C00D9"/>
    <w:rsid w:val="002C1441"/>
    <w:rsid w:val="002C6D20"/>
    <w:rsid w:val="002D07E0"/>
    <w:rsid w:val="002D0FBE"/>
    <w:rsid w:val="002D15E8"/>
    <w:rsid w:val="002D194E"/>
    <w:rsid w:val="002D3CE3"/>
    <w:rsid w:val="002D4223"/>
    <w:rsid w:val="002D434B"/>
    <w:rsid w:val="002D5705"/>
    <w:rsid w:val="002D599E"/>
    <w:rsid w:val="002D5EA0"/>
    <w:rsid w:val="002D7402"/>
    <w:rsid w:val="002D77CD"/>
    <w:rsid w:val="002E0CFB"/>
    <w:rsid w:val="002E10AD"/>
    <w:rsid w:val="002E16FC"/>
    <w:rsid w:val="002E4B8F"/>
    <w:rsid w:val="002E61ED"/>
    <w:rsid w:val="002E6322"/>
    <w:rsid w:val="002E6B2B"/>
    <w:rsid w:val="002F177B"/>
    <w:rsid w:val="002F1ADB"/>
    <w:rsid w:val="002F1FB1"/>
    <w:rsid w:val="002F2EB9"/>
    <w:rsid w:val="002F4229"/>
    <w:rsid w:val="002F62B5"/>
    <w:rsid w:val="002F77C9"/>
    <w:rsid w:val="002F7957"/>
    <w:rsid w:val="003004FE"/>
    <w:rsid w:val="00302175"/>
    <w:rsid w:val="003033A7"/>
    <w:rsid w:val="00303E7D"/>
    <w:rsid w:val="003043B8"/>
    <w:rsid w:val="00306A33"/>
    <w:rsid w:val="0031062E"/>
    <w:rsid w:val="00310F9C"/>
    <w:rsid w:val="00311534"/>
    <w:rsid w:val="0031258F"/>
    <w:rsid w:val="00312A36"/>
    <w:rsid w:val="0031387F"/>
    <w:rsid w:val="00313FBF"/>
    <w:rsid w:val="00314689"/>
    <w:rsid w:val="00314723"/>
    <w:rsid w:val="00315EDF"/>
    <w:rsid w:val="003163A5"/>
    <w:rsid w:val="00316DCB"/>
    <w:rsid w:val="00317125"/>
    <w:rsid w:val="00317693"/>
    <w:rsid w:val="00317934"/>
    <w:rsid w:val="00320314"/>
    <w:rsid w:val="003204D6"/>
    <w:rsid w:val="003241AB"/>
    <w:rsid w:val="0032696A"/>
    <w:rsid w:val="0032706D"/>
    <w:rsid w:val="00327B80"/>
    <w:rsid w:val="00327C6C"/>
    <w:rsid w:val="003303AE"/>
    <w:rsid w:val="003319C4"/>
    <w:rsid w:val="00332BF7"/>
    <w:rsid w:val="003337CB"/>
    <w:rsid w:val="003340B5"/>
    <w:rsid w:val="003345D3"/>
    <w:rsid w:val="003358EC"/>
    <w:rsid w:val="00336C1B"/>
    <w:rsid w:val="003372DF"/>
    <w:rsid w:val="00337652"/>
    <w:rsid w:val="00337A98"/>
    <w:rsid w:val="00341787"/>
    <w:rsid w:val="0034333E"/>
    <w:rsid w:val="00344AFC"/>
    <w:rsid w:val="003467AE"/>
    <w:rsid w:val="003503B9"/>
    <w:rsid w:val="00351228"/>
    <w:rsid w:val="00352700"/>
    <w:rsid w:val="00352B30"/>
    <w:rsid w:val="003545DC"/>
    <w:rsid w:val="00356B61"/>
    <w:rsid w:val="0035766A"/>
    <w:rsid w:val="00357DA9"/>
    <w:rsid w:val="0036112F"/>
    <w:rsid w:val="00361159"/>
    <w:rsid w:val="00361FA6"/>
    <w:rsid w:val="00362AA1"/>
    <w:rsid w:val="00363621"/>
    <w:rsid w:val="003654BE"/>
    <w:rsid w:val="0036677C"/>
    <w:rsid w:val="00366CF0"/>
    <w:rsid w:val="00366D91"/>
    <w:rsid w:val="00367419"/>
    <w:rsid w:val="00367AFB"/>
    <w:rsid w:val="00371EE0"/>
    <w:rsid w:val="00372F4D"/>
    <w:rsid w:val="00373C33"/>
    <w:rsid w:val="003746D7"/>
    <w:rsid w:val="00375443"/>
    <w:rsid w:val="003755EA"/>
    <w:rsid w:val="003758CC"/>
    <w:rsid w:val="003764D6"/>
    <w:rsid w:val="003769D0"/>
    <w:rsid w:val="003771DC"/>
    <w:rsid w:val="00380031"/>
    <w:rsid w:val="00380779"/>
    <w:rsid w:val="00380E9A"/>
    <w:rsid w:val="00382287"/>
    <w:rsid w:val="00382E2E"/>
    <w:rsid w:val="00382EEE"/>
    <w:rsid w:val="00382F9D"/>
    <w:rsid w:val="00385F46"/>
    <w:rsid w:val="003861BD"/>
    <w:rsid w:val="00386C64"/>
    <w:rsid w:val="0038724C"/>
    <w:rsid w:val="0038774E"/>
    <w:rsid w:val="00390E88"/>
    <w:rsid w:val="003918B0"/>
    <w:rsid w:val="00391B8A"/>
    <w:rsid w:val="003923FE"/>
    <w:rsid w:val="003935FA"/>
    <w:rsid w:val="00394B97"/>
    <w:rsid w:val="00394C8D"/>
    <w:rsid w:val="00397850"/>
    <w:rsid w:val="00397DEC"/>
    <w:rsid w:val="003A0166"/>
    <w:rsid w:val="003A0C92"/>
    <w:rsid w:val="003A0CF9"/>
    <w:rsid w:val="003A0E48"/>
    <w:rsid w:val="003A10FC"/>
    <w:rsid w:val="003A12AE"/>
    <w:rsid w:val="003A1BE5"/>
    <w:rsid w:val="003A2114"/>
    <w:rsid w:val="003A2447"/>
    <w:rsid w:val="003A360A"/>
    <w:rsid w:val="003A3B61"/>
    <w:rsid w:val="003A6729"/>
    <w:rsid w:val="003A6CCF"/>
    <w:rsid w:val="003A7DB5"/>
    <w:rsid w:val="003A7E0A"/>
    <w:rsid w:val="003A7ED5"/>
    <w:rsid w:val="003B0118"/>
    <w:rsid w:val="003B0254"/>
    <w:rsid w:val="003B0320"/>
    <w:rsid w:val="003B0379"/>
    <w:rsid w:val="003B0453"/>
    <w:rsid w:val="003B0C41"/>
    <w:rsid w:val="003B2725"/>
    <w:rsid w:val="003B6DCF"/>
    <w:rsid w:val="003C0426"/>
    <w:rsid w:val="003C0F4C"/>
    <w:rsid w:val="003C21E4"/>
    <w:rsid w:val="003C4B02"/>
    <w:rsid w:val="003C5034"/>
    <w:rsid w:val="003C5530"/>
    <w:rsid w:val="003C5BEC"/>
    <w:rsid w:val="003C5C61"/>
    <w:rsid w:val="003C5F74"/>
    <w:rsid w:val="003C6332"/>
    <w:rsid w:val="003D0D2A"/>
    <w:rsid w:val="003D0E2C"/>
    <w:rsid w:val="003D20BF"/>
    <w:rsid w:val="003D310B"/>
    <w:rsid w:val="003D3C5D"/>
    <w:rsid w:val="003D3E82"/>
    <w:rsid w:val="003D442F"/>
    <w:rsid w:val="003E17F5"/>
    <w:rsid w:val="003E4A5A"/>
    <w:rsid w:val="003E6DE0"/>
    <w:rsid w:val="003E7CA2"/>
    <w:rsid w:val="003F0CCA"/>
    <w:rsid w:val="003F221C"/>
    <w:rsid w:val="003F23FE"/>
    <w:rsid w:val="003F2F1D"/>
    <w:rsid w:val="003F54C8"/>
    <w:rsid w:val="003F635E"/>
    <w:rsid w:val="0040011C"/>
    <w:rsid w:val="0040049D"/>
    <w:rsid w:val="00400AF3"/>
    <w:rsid w:val="0040150F"/>
    <w:rsid w:val="00401748"/>
    <w:rsid w:val="0040267B"/>
    <w:rsid w:val="00403AC3"/>
    <w:rsid w:val="00404DE0"/>
    <w:rsid w:val="00407E8D"/>
    <w:rsid w:val="00411C9C"/>
    <w:rsid w:val="00411D77"/>
    <w:rsid w:val="004122AB"/>
    <w:rsid w:val="00413745"/>
    <w:rsid w:val="0041413F"/>
    <w:rsid w:val="00414A4E"/>
    <w:rsid w:val="00417142"/>
    <w:rsid w:val="00417CF2"/>
    <w:rsid w:val="00420AAC"/>
    <w:rsid w:val="00421613"/>
    <w:rsid w:val="00422213"/>
    <w:rsid w:val="00422421"/>
    <w:rsid w:val="004231A1"/>
    <w:rsid w:val="00425CD2"/>
    <w:rsid w:val="00426157"/>
    <w:rsid w:val="004264DC"/>
    <w:rsid w:val="00426A45"/>
    <w:rsid w:val="004306CB"/>
    <w:rsid w:val="0043081F"/>
    <w:rsid w:val="004308D7"/>
    <w:rsid w:val="00431AAE"/>
    <w:rsid w:val="00431E92"/>
    <w:rsid w:val="00431F9F"/>
    <w:rsid w:val="00432EEF"/>
    <w:rsid w:val="004340D1"/>
    <w:rsid w:val="00435A0E"/>
    <w:rsid w:val="00437084"/>
    <w:rsid w:val="00437CA7"/>
    <w:rsid w:val="00441393"/>
    <w:rsid w:val="00441894"/>
    <w:rsid w:val="00441ACE"/>
    <w:rsid w:val="00443252"/>
    <w:rsid w:val="004457F5"/>
    <w:rsid w:val="0044658A"/>
    <w:rsid w:val="00447465"/>
    <w:rsid w:val="00451FC7"/>
    <w:rsid w:val="00452399"/>
    <w:rsid w:val="00452B47"/>
    <w:rsid w:val="00452F90"/>
    <w:rsid w:val="004532DC"/>
    <w:rsid w:val="004532FC"/>
    <w:rsid w:val="00453725"/>
    <w:rsid w:val="00453DBC"/>
    <w:rsid w:val="00455224"/>
    <w:rsid w:val="00455888"/>
    <w:rsid w:val="00455996"/>
    <w:rsid w:val="00455A74"/>
    <w:rsid w:val="00455F84"/>
    <w:rsid w:val="004565DB"/>
    <w:rsid w:val="00460A86"/>
    <w:rsid w:val="00461132"/>
    <w:rsid w:val="004613DE"/>
    <w:rsid w:val="00461E3D"/>
    <w:rsid w:val="00462164"/>
    <w:rsid w:val="00462AB2"/>
    <w:rsid w:val="0046450D"/>
    <w:rsid w:val="00465515"/>
    <w:rsid w:val="0046755F"/>
    <w:rsid w:val="004675FF"/>
    <w:rsid w:val="00467602"/>
    <w:rsid w:val="004717DA"/>
    <w:rsid w:val="004717DF"/>
    <w:rsid w:val="00472313"/>
    <w:rsid w:val="004723D0"/>
    <w:rsid w:val="004739E9"/>
    <w:rsid w:val="00474507"/>
    <w:rsid w:val="00474DC4"/>
    <w:rsid w:val="0047573F"/>
    <w:rsid w:val="004758AB"/>
    <w:rsid w:val="00475BCC"/>
    <w:rsid w:val="0047748A"/>
    <w:rsid w:val="00481F9E"/>
    <w:rsid w:val="004828DA"/>
    <w:rsid w:val="00482A39"/>
    <w:rsid w:val="00484284"/>
    <w:rsid w:val="004846CB"/>
    <w:rsid w:val="0048601B"/>
    <w:rsid w:val="00487226"/>
    <w:rsid w:val="00491EF7"/>
    <w:rsid w:val="004929F1"/>
    <w:rsid w:val="004938FB"/>
    <w:rsid w:val="00493EB2"/>
    <w:rsid w:val="004940C3"/>
    <w:rsid w:val="004941B2"/>
    <w:rsid w:val="00494691"/>
    <w:rsid w:val="0049542C"/>
    <w:rsid w:val="004954A4"/>
    <w:rsid w:val="00496260"/>
    <w:rsid w:val="004A0D78"/>
    <w:rsid w:val="004A20C6"/>
    <w:rsid w:val="004A4EDD"/>
    <w:rsid w:val="004A57E3"/>
    <w:rsid w:val="004A5C4B"/>
    <w:rsid w:val="004A64A6"/>
    <w:rsid w:val="004A7ED9"/>
    <w:rsid w:val="004B060C"/>
    <w:rsid w:val="004B09BF"/>
    <w:rsid w:val="004B11CD"/>
    <w:rsid w:val="004B1909"/>
    <w:rsid w:val="004B299F"/>
    <w:rsid w:val="004B33DD"/>
    <w:rsid w:val="004B41E7"/>
    <w:rsid w:val="004B4D53"/>
    <w:rsid w:val="004C04D1"/>
    <w:rsid w:val="004C09FE"/>
    <w:rsid w:val="004C1A13"/>
    <w:rsid w:val="004C20A7"/>
    <w:rsid w:val="004C32B8"/>
    <w:rsid w:val="004C4357"/>
    <w:rsid w:val="004C6AF2"/>
    <w:rsid w:val="004C74CA"/>
    <w:rsid w:val="004C7AAC"/>
    <w:rsid w:val="004D331C"/>
    <w:rsid w:val="004D3544"/>
    <w:rsid w:val="004D3ECB"/>
    <w:rsid w:val="004D4241"/>
    <w:rsid w:val="004D4506"/>
    <w:rsid w:val="004D4BAF"/>
    <w:rsid w:val="004D55B0"/>
    <w:rsid w:val="004D5B1E"/>
    <w:rsid w:val="004D6BB2"/>
    <w:rsid w:val="004D7616"/>
    <w:rsid w:val="004E49D7"/>
    <w:rsid w:val="004E4EAC"/>
    <w:rsid w:val="004F0A54"/>
    <w:rsid w:val="004F3A63"/>
    <w:rsid w:val="004F3D9E"/>
    <w:rsid w:val="004F3E33"/>
    <w:rsid w:val="004F5283"/>
    <w:rsid w:val="004F6C07"/>
    <w:rsid w:val="004F73DD"/>
    <w:rsid w:val="005006B4"/>
    <w:rsid w:val="00500768"/>
    <w:rsid w:val="005010EF"/>
    <w:rsid w:val="00501C4B"/>
    <w:rsid w:val="00501CD2"/>
    <w:rsid w:val="00504F43"/>
    <w:rsid w:val="005070BD"/>
    <w:rsid w:val="00511282"/>
    <w:rsid w:val="00513786"/>
    <w:rsid w:val="00514F99"/>
    <w:rsid w:val="00515D4B"/>
    <w:rsid w:val="00515DC8"/>
    <w:rsid w:val="0051618B"/>
    <w:rsid w:val="005169C0"/>
    <w:rsid w:val="00517396"/>
    <w:rsid w:val="005175CD"/>
    <w:rsid w:val="0052107F"/>
    <w:rsid w:val="005217C1"/>
    <w:rsid w:val="00523948"/>
    <w:rsid w:val="00523999"/>
    <w:rsid w:val="00523C7D"/>
    <w:rsid w:val="00524A10"/>
    <w:rsid w:val="00525196"/>
    <w:rsid w:val="00526ADD"/>
    <w:rsid w:val="00526D12"/>
    <w:rsid w:val="00527859"/>
    <w:rsid w:val="00531061"/>
    <w:rsid w:val="005315B4"/>
    <w:rsid w:val="00532126"/>
    <w:rsid w:val="00532DC3"/>
    <w:rsid w:val="00533AA1"/>
    <w:rsid w:val="00534D48"/>
    <w:rsid w:val="0053628F"/>
    <w:rsid w:val="00536692"/>
    <w:rsid w:val="005371BB"/>
    <w:rsid w:val="005373FE"/>
    <w:rsid w:val="00541412"/>
    <w:rsid w:val="0054141F"/>
    <w:rsid w:val="005446F7"/>
    <w:rsid w:val="005457C3"/>
    <w:rsid w:val="00546830"/>
    <w:rsid w:val="00550282"/>
    <w:rsid w:val="005513D4"/>
    <w:rsid w:val="0055184B"/>
    <w:rsid w:val="00552C3A"/>
    <w:rsid w:val="00553349"/>
    <w:rsid w:val="00554FE8"/>
    <w:rsid w:val="0055644D"/>
    <w:rsid w:val="005571B8"/>
    <w:rsid w:val="005577E1"/>
    <w:rsid w:val="00561204"/>
    <w:rsid w:val="00561590"/>
    <w:rsid w:val="005627A2"/>
    <w:rsid w:val="005631FC"/>
    <w:rsid w:val="0056386F"/>
    <w:rsid w:val="00563D06"/>
    <w:rsid w:val="00565C65"/>
    <w:rsid w:val="005671B5"/>
    <w:rsid w:val="0056767A"/>
    <w:rsid w:val="005676DA"/>
    <w:rsid w:val="00567B3B"/>
    <w:rsid w:val="00572CEA"/>
    <w:rsid w:val="00574649"/>
    <w:rsid w:val="005755C7"/>
    <w:rsid w:val="00575DF7"/>
    <w:rsid w:val="00576425"/>
    <w:rsid w:val="00576F0C"/>
    <w:rsid w:val="00577F0D"/>
    <w:rsid w:val="005809EA"/>
    <w:rsid w:val="00580D1D"/>
    <w:rsid w:val="00581080"/>
    <w:rsid w:val="00581B5A"/>
    <w:rsid w:val="00581C78"/>
    <w:rsid w:val="00581EC6"/>
    <w:rsid w:val="005823B3"/>
    <w:rsid w:val="0058350E"/>
    <w:rsid w:val="005858A4"/>
    <w:rsid w:val="005859CD"/>
    <w:rsid w:val="00587629"/>
    <w:rsid w:val="00587FDD"/>
    <w:rsid w:val="005901B7"/>
    <w:rsid w:val="005927DF"/>
    <w:rsid w:val="00593584"/>
    <w:rsid w:val="00595274"/>
    <w:rsid w:val="005953A8"/>
    <w:rsid w:val="00595584"/>
    <w:rsid w:val="005A2943"/>
    <w:rsid w:val="005A34A0"/>
    <w:rsid w:val="005A5678"/>
    <w:rsid w:val="005A5F16"/>
    <w:rsid w:val="005A6A6A"/>
    <w:rsid w:val="005B0AE9"/>
    <w:rsid w:val="005B30F4"/>
    <w:rsid w:val="005B761A"/>
    <w:rsid w:val="005C0818"/>
    <w:rsid w:val="005C096D"/>
    <w:rsid w:val="005C3F66"/>
    <w:rsid w:val="005C719C"/>
    <w:rsid w:val="005C7C00"/>
    <w:rsid w:val="005D0FB2"/>
    <w:rsid w:val="005D1358"/>
    <w:rsid w:val="005D1513"/>
    <w:rsid w:val="005D1854"/>
    <w:rsid w:val="005D2590"/>
    <w:rsid w:val="005D27F4"/>
    <w:rsid w:val="005D2923"/>
    <w:rsid w:val="005D357B"/>
    <w:rsid w:val="005D3B52"/>
    <w:rsid w:val="005D4752"/>
    <w:rsid w:val="005D59A5"/>
    <w:rsid w:val="005D5BA0"/>
    <w:rsid w:val="005D5E63"/>
    <w:rsid w:val="005D6846"/>
    <w:rsid w:val="005E2A5B"/>
    <w:rsid w:val="005E2BB2"/>
    <w:rsid w:val="005E3EC0"/>
    <w:rsid w:val="005E409E"/>
    <w:rsid w:val="005E509C"/>
    <w:rsid w:val="005E57E1"/>
    <w:rsid w:val="005E72D8"/>
    <w:rsid w:val="005E7929"/>
    <w:rsid w:val="005E79DD"/>
    <w:rsid w:val="005E7EF1"/>
    <w:rsid w:val="005F19D6"/>
    <w:rsid w:val="005F250E"/>
    <w:rsid w:val="005F74D4"/>
    <w:rsid w:val="005F77B2"/>
    <w:rsid w:val="005F7AD3"/>
    <w:rsid w:val="00600E8A"/>
    <w:rsid w:val="00601675"/>
    <w:rsid w:val="00603698"/>
    <w:rsid w:val="00603D73"/>
    <w:rsid w:val="00604B0A"/>
    <w:rsid w:val="006075AA"/>
    <w:rsid w:val="00607C48"/>
    <w:rsid w:val="00610C80"/>
    <w:rsid w:val="006117F5"/>
    <w:rsid w:val="006120B2"/>
    <w:rsid w:val="0061257D"/>
    <w:rsid w:val="00613383"/>
    <w:rsid w:val="006133AF"/>
    <w:rsid w:val="006133EB"/>
    <w:rsid w:val="00613C9C"/>
    <w:rsid w:val="006145A5"/>
    <w:rsid w:val="006153D4"/>
    <w:rsid w:val="006164A3"/>
    <w:rsid w:val="00616960"/>
    <w:rsid w:val="00620333"/>
    <w:rsid w:val="0062064A"/>
    <w:rsid w:val="00620BE9"/>
    <w:rsid w:val="00621EE9"/>
    <w:rsid w:val="00622495"/>
    <w:rsid w:val="0062360B"/>
    <w:rsid w:val="00624C4D"/>
    <w:rsid w:val="006263B4"/>
    <w:rsid w:val="00626571"/>
    <w:rsid w:val="00626656"/>
    <w:rsid w:val="0062666C"/>
    <w:rsid w:val="00630072"/>
    <w:rsid w:val="0063019F"/>
    <w:rsid w:val="00630842"/>
    <w:rsid w:val="00631E8B"/>
    <w:rsid w:val="006327FC"/>
    <w:rsid w:val="00633091"/>
    <w:rsid w:val="00635826"/>
    <w:rsid w:val="0063607E"/>
    <w:rsid w:val="00636807"/>
    <w:rsid w:val="00637CCD"/>
    <w:rsid w:val="00641261"/>
    <w:rsid w:val="006418F3"/>
    <w:rsid w:val="00641EBE"/>
    <w:rsid w:val="00642B92"/>
    <w:rsid w:val="00643429"/>
    <w:rsid w:val="00644768"/>
    <w:rsid w:val="006466F9"/>
    <w:rsid w:val="00646854"/>
    <w:rsid w:val="00646DC0"/>
    <w:rsid w:val="006479FC"/>
    <w:rsid w:val="00651DE5"/>
    <w:rsid w:val="00652112"/>
    <w:rsid w:val="006528D4"/>
    <w:rsid w:val="00652A38"/>
    <w:rsid w:val="00653CF9"/>
    <w:rsid w:val="00653E3E"/>
    <w:rsid w:val="00655CD5"/>
    <w:rsid w:val="00657017"/>
    <w:rsid w:val="00660314"/>
    <w:rsid w:val="00663162"/>
    <w:rsid w:val="0066338D"/>
    <w:rsid w:val="00663F17"/>
    <w:rsid w:val="006640C8"/>
    <w:rsid w:val="006642ED"/>
    <w:rsid w:val="00664F81"/>
    <w:rsid w:val="00665C51"/>
    <w:rsid w:val="00665CC2"/>
    <w:rsid w:val="006661F1"/>
    <w:rsid w:val="00666668"/>
    <w:rsid w:val="00670394"/>
    <w:rsid w:val="00672884"/>
    <w:rsid w:val="00672F6B"/>
    <w:rsid w:val="00673600"/>
    <w:rsid w:val="00674AF4"/>
    <w:rsid w:val="006762D7"/>
    <w:rsid w:val="0067672F"/>
    <w:rsid w:val="00681BF4"/>
    <w:rsid w:val="00681EA6"/>
    <w:rsid w:val="00683BCA"/>
    <w:rsid w:val="0068507E"/>
    <w:rsid w:val="00686688"/>
    <w:rsid w:val="006878A6"/>
    <w:rsid w:val="006879DA"/>
    <w:rsid w:val="0069039C"/>
    <w:rsid w:val="006913EB"/>
    <w:rsid w:val="0069268A"/>
    <w:rsid w:val="00692967"/>
    <w:rsid w:val="0069353C"/>
    <w:rsid w:val="00693BCE"/>
    <w:rsid w:val="00694392"/>
    <w:rsid w:val="00695F13"/>
    <w:rsid w:val="006968C2"/>
    <w:rsid w:val="00696A93"/>
    <w:rsid w:val="00696AA7"/>
    <w:rsid w:val="006A1C73"/>
    <w:rsid w:val="006A2659"/>
    <w:rsid w:val="006A2B20"/>
    <w:rsid w:val="006A3243"/>
    <w:rsid w:val="006A3EB2"/>
    <w:rsid w:val="006A3F32"/>
    <w:rsid w:val="006A42E3"/>
    <w:rsid w:val="006A44D5"/>
    <w:rsid w:val="006A4B47"/>
    <w:rsid w:val="006A69E2"/>
    <w:rsid w:val="006A6E16"/>
    <w:rsid w:val="006A7D8F"/>
    <w:rsid w:val="006A7F9C"/>
    <w:rsid w:val="006B203F"/>
    <w:rsid w:val="006B352C"/>
    <w:rsid w:val="006B391B"/>
    <w:rsid w:val="006B39AA"/>
    <w:rsid w:val="006C03F7"/>
    <w:rsid w:val="006C158A"/>
    <w:rsid w:val="006C17E4"/>
    <w:rsid w:val="006C20A2"/>
    <w:rsid w:val="006C2878"/>
    <w:rsid w:val="006C4E75"/>
    <w:rsid w:val="006C4F5D"/>
    <w:rsid w:val="006C518B"/>
    <w:rsid w:val="006C6BF6"/>
    <w:rsid w:val="006C762D"/>
    <w:rsid w:val="006D077F"/>
    <w:rsid w:val="006D1156"/>
    <w:rsid w:val="006D14B9"/>
    <w:rsid w:val="006D1DBE"/>
    <w:rsid w:val="006D217D"/>
    <w:rsid w:val="006D271D"/>
    <w:rsid w:val="006D29B0"/>
    <w:rsid w:val="006D7555"/>
    <w:rsid w:val="006D7DCC"/>
    <w:rsid w:val="006E0DCF"/>
    <w:rsid w:val="006E1137"/>
    <w:rsid w:val="006E1C08"/>
    <w:rsid w:val="006E3885"/>
    <w:rsid w:val="006E3BFE"/>
    <w:rsid w:val="006E3D6F"/>
    <w:rsid w:val="006E3E7D"/>
    <w:rsid w:val="006E669C"/>
    <w:rsid w:val="006E66B7"/>
    <w:rsid w:val="006E6D46"/>
    <w:rsid w:val="006F00DB"/>
    <w:rsid w:val="006F1D57"/>
    <w:rsid w:val="006F2609"/>
    <w:rsid w:val="006F30FA"/>
    <w:rsid w:val="006F43A2"/>
    <w:rsid w:val="006F4B51"/>
    <w:rsid w:val="006F60FA"/>
    <w:rsid w:val="006F65C4"/>
    <w:rsid w:val="006F7127"/>
    <w:rsid w:val="006F7B9B"/>
    <w:rsid w:val="00700EC7"/>
    <w:rsid w:val="007023E9"/>
    <w:rsid w:val="00702916"/>
    <w:rsid w:val="00703028"/>
    <w:rsid w:val="007036CC"/>
    <w:rsid w:val="00703EDA"/>
    <w:rsid w:val="007045C1"/>
    <w:rsid w:val="007051DB"/>
    <w:rsid w:val="0070731C"/>
    <w:rsid w:val="00707435"/>
    <w:rsid w:val="00710804"/>
    <w:rsid w:val="0071091B"/>
    <w:rsid w:val="0071174C"/>
    <w:rsid w:val="00712F66"/>
    <w:rsid w:val="00713C30"/>
    <w:rsid w:val="00713CF2"/>
    <w:rsid w:val="00714269"/>
    <w:rsid w:val="0071429A"/>
    <w:rsid w:val="00714B9C"/>
    <w:rsid w:val="00714D8A"/>
    <w:rsid w:val="0071516B"/>
    <w:rsid w:val="007160DE"/>
    <w:rsid w:val="00717C8E"/>
    <w:rsid w:val="00721076"/>
    <w:rsid w:val="00721811"/>
    <w:rsid w:val="007218C4"/>
    <w:rsid w:val="00722E21"/>
    <w:rsid w:val="00722EE0"/>
    <w:rsid w:val="00723565"/>
    <w:rsid w:val="00723CCA"/>
    <w:rsid w:val="00724B51"/>
    <w:rsid w:val="00724EB5"/>
    <w:rsid w:val="007254F7"/>
    <w:rsid w:val="00726147"/>
    <w:rsid w:val="00727591"/>
    <w:rsid w:val="007302B4"/>
    <w:rsid w:val="00731C52"/>
    <w:rsid w:val="007321FD"/>
    <w:rsid w:val="00732468"/>
    <w:rsid w:val="00732525"/>
    <w:rsid w:val="00735477"/>
    <w:rsid w:val="00736712"/>
    <w:rsid w:val="00736EF4"/>
    <w:rsid w:val="00737FA3"/>
    <w:rsid w:val="00741498"/>
    <w:rsid w:val="007429E1"/>
    <w:rsid w:val="00743EFC"/>
    <w:rsid w:val="00746224"/>
    <w:rsid w:val="007475C3"/>
    <w:rsid w:val="007501DD"/>
    <w:rsid w:val="007517F1"/>
    <w:rsid w:val="00751BE8"/>
    <w:rsid w:val="007523E0"/>
    <w:rsid w:val="00752653"/>
    <w:rsid w:val="00752C36"/>
    <w:rsid w:val="00754008"/>
    <w:rsid w:val="0075525A"/>
    <w:rsid w:val="007553BC"/>
    <w:rsid w:val="0075586F"/>
    <w:rsid w:val="00756A42"/>
    <w:rsid w:val="00757F6C"/>
    <w:rsid w:val="00760412"/>
    <w:rsid w:val="00760780"/>
    <w:rsid w:val="00760D93"/>
    <w:rsid w:val="0076111A"/>
    <w:rsid w:val="00762395"/>
    <w:rsid w:val="00763E1D"/>
    <w:rsid w:val="00764BE5"/>
    <w:rsid w:val="00765461"/>
    <w:rsid w:val="0076795C"/>
    <w:rsid w:val="007708C0"/>
    <w:rsid w:val="00770AB0"/>
    <w:rsid w:val="00770F39"/>
    <w:rsid w:val="007717C2"/>
    <w:rsid w:val="00771825"/>
    <w:rsid w:val="0077198A"/>
    <w:rsid w:val="00771CCC"/>
    <w:rsid w:val="00772918"/>
    <w:rsid w:val="00772FC8"/>
    <w:rsid w:val="00773C9C"/>
    <w:rsid w:val="00774FA1"/>
    <w:rsid w:val="007750D8"/>
    <w:rsid w:val="00777EB5"/>
    <w:rsid w:val="00780B66"/>
    <w:rsid w:val="00781337"/>
    <w:rsid w:val="00781668"/>
    <w:rsid w:val="0078293C"/>
    <w:rsid w:val="007856FE"/>
    <w:rsid w:val="007865FE"/>
    <w:rsid w:val="00792759"/>
    <w:rsid w:val="00793850"/>
    <w:rsid w:val="00794458"/>
    <w:rsid w:val="00795C4A"/>
    <w:rsid w:val="00796523"/>
    <w:rsid w:val="007A1863"/>
    <w:rsid w:val="007A188F"/>
    <w:rsid w:val="007A286D"/>
    <w:rsid w:val="007A31A1"/>
    <w:rsid w:val="007A4100"/>
    <w:rsid w:val="007A47E3"/>
    <w:rsid w:val="007A5B52"/>
    <w:rsid w:val="007A5DDE"/>
    <w:rsid w:val="007A6875"/>
    <w:rsid w:val="007A7E53"/>
    <w:rsid w:val="007B1A71"/>
    <w:rsid w:val="007B2A96"/>
    <w:rsid w:val="007B404A"/>
    <w:rsid w:val="007B42FC"/>
    <w:rsid w:val="007B5D6C"/>
    <w:rsid w:val="007B5E47"/>
    <w:rsid w:val="007B67A6"/>
    <w:rsid w:val="007B7B9B"/>
    <w:rsid w:val="007C0445"/>
    <w:rsid w:val="007C135C"/>
    <w:rsid w:val="007C22C3"/>
    <w:rsid w:val="007C2683"/>
    <w:rsid w:val="007C2ED0"/>
    <w:rsid w:val="007C34D3"/>
    <w:rsid w:val="007C38E4"/>
    <w:rsid w:val="007C407E"/>
    <w:rsid w:val="007C439F"/>
    <w:rsid w:val="007C4B6E"/>
    <w:rsid w:val="007C7748"/>
    <w:rsid w:val="007D0BA7"/>
    <w:rsid w:val="007D20D2"/>
    <w:rsid w:val="007D2516"/>
    <w:rsid w:val="007D34A1"/>
    <w:rsid w:val="007D3CDB"/>
    <w:rsid w:val="007D3F4C"/>
    <w:rsid w:val="007D4ABD"/>
    <w:rsid w:val="007D4F17"/>
    <w:rsid w:val="007D6F7B"/>
    <w:rsid w:val="007D7907"/>
    <w:rsid w:val="007D7C88"/>
    <w:rsid w:val="007E0E56"/>
    <w:rsid w:val="007E1F56"/>
    <w:rsid w:val="007E249D"/>
    <w:rsid w:val="007E2656"/>
    <w:rsid w:val="007E2C59"/>
    <w:rsid w:val="007E4B16"/>
    <w:rsid w:val="007E4B23"/>
    <w:rsid w:val="007E6639"/>
    <w:rsid w:val="007E7DC7"/>
    <w:rsid w:val="007F07D8"/>
    <w:rsid w:val="007F0C5B"/>
    <w:rsid w:val="007F0DC8"/>
    <w:rsid w:val="007F181F"/>
    <w:rsid w:val="007F203A"/>
    <w:rsid w:val="007F3511"/>
    <w:rsid w:val="007F3B9E"/>
    <w:rsid w:val="007F7E56"/>
    <w:rsid w:val="00801655"/>
    <w:rsid w:val="008033EB"/>
    <w:rsid w:val="00803650"/>
    <w:rsid w:val="00803CAF"/>
    <w:rsid w:val="008067C7"/>
    <w:rsid w:val="008074D7"/>
    <w:rsid w:val="0080750D"/>
    <w:rsid w:val="00811710"/>
    <w:rsid w:val="0081184D"/>
    <w:rsid w:val="00811BF0"/>
    <w:rsid w:val="00811DDC"/>
    <w:rsid w:val="0081239A"/>
    <w:rsid w:val="0081254A"/>
    <w:rsid w:val="00812557"/>
    <w:rsid w:val="00812AA5"/>
    <w:rsid w:val="00815029"/>
    <w:rsid w:val="008155E5"/>
    <w:rsid w:val="0081584A"/>
    <w:rsid w:val="008172BC"/>
    <w:rsid w:val="008174C0"/>
    <w:rsid w:val="00820AA6"/>
    <w:rsid w:val="00820EE8"/>
    <w:rsid w:val="00822742"/>
    <w:rsid w:val="00822EF9"/>
    <w:rsid w:val="00823D1F"/>
    <w:rsid w:val="008264EB"/>
    <w:rsid w:val="00831409"/>
    <w:rsid w:val="008317B3"/>
    <w:rsid w:val="00833E3A"/>
    <w:rsid w:val="00834660"/>
    <w:rsid w:val="00834762"/>
    <w:rsid w:val="0083509F"/>
    <w:rsid w:val="008353E3"/>
    <w:rsid w:val="00835D13"/>
    <w:rsid w:val="00836138"/>
    <w:rsid w:val="0083624C"/>
    <w:rsid w:val="008363F5"/>
    <w:rsid w:val="0083654A"/>
    <w:rsid w:val="00843827"/>
    <w:rsid w:val="00844DB9"/>
    <w:rsid w:val="00850606"/>
    <w:rsid w:val="00850F5A"/>
    <w:rsid w:val="00852C4A"/>
    <w:rsid w:val="008533E5"/>
    <w:rsid w:val="008535DA"/>
    <w:rsid w:val="00853BCF"/>
    <w:rsid w:val="00853E27"/>
    <w:rsid w:val="0085515A"/>
    <w:rsid w:val="008605D5"/>
    <w:rsid w:val="00860C6E"/>
    <w:rsid w:val="00862227"/>
    <w:rsid w:val="00862857"/>
    <w:rsid w:val="008628B0"/>
    <w:rsid w:val="00863035"/>
    <w:rsid w:val="00863BED"/>
    <w:rsid w:val="00865A55"/>
    <w:rsid w:val="00865AF3"/>
    <w:rsid w:val="0087205E"/>
    <w:rsid w:val="00872CBD"/>
    <w:rsid w:val="008742E4"/>
    <w:rsid w:val="0087441B"/>
    <w:rsid w:val="00874921"/>
    <w:rsid w:val="00874D7A"/>
    <w:rsid w:val="00875B96"/>
    <w:rsid w:val="00875E4D"/>
    <w:rsid w:val="00877957"/>
    <w:rsid w:val="0088384A"/>
    <w:rsid w:val="00883905"/>
    <w:rsid w:val="00883EF4"/>
    <w:rsid w:val="008853AC"/>
    <w:rsid w:val="00885B19"/>
    <w:rsid w:val="008901D9"/>
    <w:rsid w:val="0089052C"/>
    <w:rsid w:val="008907C8"/>
    <w:rsid w:val="008908A1"/>
    <w:rsid w:val="00891751"/>
    <w:rsid w:val="0089176B"/>
    <w:rsid w:val="00891841"/>
    <w:rsid w:val="00893361"/>
    <w:rsid w:val="0089346E"/>
    <w:rsid w:val="0089597F"/>
    <w:rsid w:val="00895BB8"/>
    <w:rsid w:val="008961F5"/>
    <w:rsid w:val="0089646C"/>
    <w:rsid w:val="00896F5D"/>
    <w:rsid w:val="0089719D"/>
    <w:rsid w:val="00897452"/>
    <w:rsid w:val="008A132E"/>
    <w:rsid w:val="008A2FA5"/>
    <w:rsid w:val="008A3237"/>
    <w:rsid w:val="008A3CA6"/>
    <w:rsid w:val="008A3E5B"/>
    <w:rsid w:val="008A49FE"/>
    <w:rsid w:val="008A5285"/>
    <w:rsid w:val="008A559C"/>
    <w:rsid w:val="008A6256"/>
    <w:rsid w:val="008B0076"/>
    <w:rsid w:val="008B1796"/>
    <w:rsid w:val="008B2081"/>
    <w:rsid w:val="008B4648"/>
    <w:rsid w:val="008B4973"/>
    <w:rsid w:val="008B5930"/>
    <w:rsid w:val="008B69BE"/>
    <w:rsid w:val="008B6B0D"/>
    <w:rsid w:val="008B7230"/>
    <w:rsid w:val="008B75B3"/>
    <w:rsid w:val="008C0BE4"/>
    <w:rsid w:val="008C13AD"/>
    <w:rsid w:val="008C26F4"/>
    <w:rsid w:val="008C270B"/>
    <w:rsid w:val="008C3272"/>
    <w:rsid w:val="008C41A4"/>
    <w:rsid w:val="008C47AC"/>
    <w:rsid w:val="008C48CC"/>
    <w:rsid w:val="008C688B"/>
    <w:rsid w:val="008C78CC"/>
    <w:rsid w:val="008D2194"/>
    <w:rsid w:val="008D30CE"/>
    <w:rsid w:val="008D3B34"/>
    <w:rsid w:val="008D3E27"/>
    <w:rsid w:val="008D5629"/>
    <w:rsid w:val="008D56A1"/>
    <w:rsid w:val="008D5D54"/>
    <w:rsid w:val="008D634D"/>
    <w:rsid w:val="008D73A4"/>
    <w:rsid w:val="008E1F0A"/>
    <w:rsid w:val="008E2E23"/>
    <w:rsid w:val="008E310E"/>
    <w:rsid w:val="008E4D2A"/>
    <w:rsid w:val="008E5573"/>
    <w:rsid w:val="008E7CC4"/>
    <w:rsid w:val="008F09F2"/>
    <w:rsid w:val="008F0A58"/>
    <w:rsid w:val="008F0E00"/>
    <w:rsid w:val="008F2589"/>
    <w:rsid w:val="008F2F0F"/>
    <w:rsid w:val="008F31F2"/>
    <w:rsid w:val="008F3DC4"/>
    <w:rsid w:val="008F4C46"/>
    <w:rsid w:val="008F4E22"/>
    <w:rsid w:val="008F506D"/>
    <w:rsid w:val="008F56F0"/>
    <w:rsid w:val="008F6423"/>
    <w:rsid w:val="008F67FB"/>
    <w:rsid w:val="008F71D7"/>
    <w:rsid w:val="008F7642"/>
    <w:rsid w:val="00900042"/>
    <w:rsid w:val="00901060"/>
    <w:rsid w:val="0090178D"/>
    <w:rsid w:val="00901D82"/>
    <w:rsid w:val="009021EC"/>
    <w:rsid w:val="00902EC9"/>
    <w:rsid w:val="009035ED"/>
    <w:rsid w:val="00905676"/>
    <w:rsid w:val="00905871"/>
    <w:rsid w:val="009059BB"/>
    <w:rsid w:val="00907D33"/>
    <w:rsid w:val="00907FE7"/>
    <w:rsid w:val="00911D91"/>
    <w:rsid w:val="0091279F"/>
    <w:rsid w:val="00912812"/>
    <w:rsid w:val="009129B3"/>
    <w:rsid w:val="009153A6"/>
    <w:rsid w:val="009164CF"/>
    <w:rsid w:val="00916A6C"/>
    <w:rsid w:val="00920328"/>
    <w:rsid w:val="00920E62"/>
    <w:rsid w:val="00921867"/>
    <w:rsid w:val="00921F97"/>
    <w:rsid w:val="00922C0D"/>
    <w:rsid w:val="00923183"/>
    <w:rsid w:val="00923408"/>
    <w:rsid w:val="0092360D"/>
    <w:rsid w:val="00924663"/>
    <w:rsid w:val="009270FF"/>
    <w:rsid w:val="00927C32"/>
    <w:rsid w:val="00930390"/>
    <w:rsid w:val="00930409"/>
    <w:rsid w:val="00931D12"/>
    <w:rsid w:val="00932808"/>
    <w:rsid w:val="00933356"/>
    <w:rsid w:val="00934881"/>
    <w:rsid w:val="00934E5C"/>
    <w:rsid w:val="00935813"/>
    <w:rsid w:val="00940D3C"/>
    <w:rsid w:val="00941820"/>
    <w:rsid w:val="009420F8"/>
    <w:rsid w:val="00942DCC"/>
    <w:rsid w:val="00943E62"/>
    <w:rsid w:val="0094404C"/>
    <w:rsid w:val="00945132"/>
    <w:rsid w:val="00946339"/>
    <w:rsid w:val="0094669A"/>
    <w:rsid w:val="00950392"/>
    <w:rsid w:val="00950D9C"/>
    <w:rsid w:val="00950DE6"/>
    <w:rsid w:val="009516D8"/>
    <w:rsid w:val="00951D16"/>
    <w:rsid w:val="009541E7"/>
    <w:rsid w:val="00954AF8"/>
    <w:rsid w:val="00954D9F"/>
    <w:rsid w:val="009559E9"/>
    <w:rsid w:val="00956915"/>
    <w:rsid w:val="009577A8"/>
    <w:rsid w:val="00957887"/>
    <w:rsid w:val="00957E5E"/>
    <w:rsid w:val="00960C0A"/>
    <w:rsid w:val="0096210B"/>
    <w:rsid w:val="009624DE"/>
    <w:rsid w:val="009628E6"/>
    <w:rsid w:val="009656C7"/>
    <w:rsid w:val="00966828"/>
    <w:rsid w:val="00967C45"/>
    <w:rsid w:val="00970A01"/>
    <w:rsid w:val="00971287"/>
    <w:rsid w:val="00971AF5"/>
    <w:rsid w:val="00971E21"/>
    <w:rsid w:val="009748F9"/>
    <w:rsid w:val="009758FD"/>
    <w:rsid w:val="00983836"/>
    <w:rsid w:val="009838EF"/>
    <w:rsid w:val="00983994"/>
    <w:rsid w:val="00984419"/>
    <w:rsid w:val="009852EE"/>
    <w:rsid w:val="00986891"/>
    <w:rsid w:val="00987E2C"/>
    <w:rsid w:val="00995598"/>
    <w:rsid w:val="00996391"/>
    <w:rsid w:val="00996E13"/>
    <w:rsid w:val="00997E71"/>
    <w:rsid w:val="009A0340"/>
    <w:rsid w:val="009A1303"/>
    <w:rsid w:val="009A134D"/>
    <w:rsid w:val="009A1E07"/>
    <w:rsid w:val="009A2EFA"/>
    <w:rsid w:val="009A4C48"/>
    <w:rsid w:val="009A59DD"/>
    <w:rsid w:val="009B2ABE"/>
    <w:rsid w:val="009B2DAE"/>
    <w:rsid w:val="009B3CD8"/>
    <w:rsid w:val="009B4444"/>
    <w:rsid w:val="009B47FA"/>
    <w:rsid w:val="009B5539"/>
    <w:rsid w:val="009B6F72"/>
    <w:rsid w:val="009C0AE6"/>
    <w:rsid w:val="009C119C"/>
    <w:rsid w:val="009C29B6"/>
    <w:rsid w:val="009C3C31"/>
    <w:rsid w:val="009C5DB2"/>
    <w:rsid w:val="009C690C"/>
    <w:rsid w:val="009C7285"/>
    <w:rsid w:val="009C7F8E"/>
    <w:rsid w:val="009D064E"/>
    <w:rsid w:val="009D08C0"/>
    <w:rsid w:val="009D1F7D"/>
    <w:rsid w:val="009D2121"/>
    <w:rsid w:val="009D24C0"/>
    <w:rsid w:val="009D26C7"/>
    <w:rsid w:val="009D58CA"/>
    <w:rsid w:val="009D7C12"/>
    <w:rsid w:val="009D7EA2"/>
    <w:rsid w:val="009D7EA5"/>
    <w:rsid w:val="009E1D93"/>
    <w:rsid w:val="009E3407"/>
    <w:rsid w:val="009E3CE4"/>
    <w:rsid w:val="009E3D96"/>
    <w:rsid w:val="009E3F6A"/>
    <w:rsid w:val="009E475A"/>
    <w:rsid w:val="009E4B60"/>
    <w:rsid w:val="009E656D"/>
    <w:rsid w:val="009E73A3"/>
    <w:rsid w:val="009E7665"/>
    <w:rsid w:val="009E78D7"/>
    <w:rsid w:val="009F0241"/>
    <w:rsid w:val="009F2274"/>
    <w:rsid w:val="009F2510"/>
    <w:rsid w:val="009F257B"/>
    <w:rsid w:val="009F257C"/>
    <w:rsid w:val="009F2BB7"/>
    <w:rsid w:val="009F3112"/>
    <w:rsid w:val="009F35F8"/>
    <w:rsid w:val="009F3E3D"/>
    <w:rsid w:val="009F6832"/>
    <w:rsid w:val="009F696D"/>
    <w:rsid w:val="00A01087"/>
    <w:rsid w:val="00A01D2F"/>
    <w:rsid w:val="00A01FA1"/>
    <w:rsid w:val="00A02C66"/>
    <w:rsid w:val="00A02D8E"/>
    <w:rsid w:val="00A046B9"/>
    <w:rsid w:val="00A0616A"/>
    <w:rsid w:val="00A066A2"/>
    <w:rsid w:val="00A06745"/>
    <w:rsid w:val="00A06ABD"/>
    <w:rsid w:val="00A07D33"/>
    <w:rsid w:val="00A10785"/>
    <w:rsid w:val="00A10FF9"/>
    <w:rsid w:val="00A11642"/>
    <w:rsid w:val="00A12389"/>
    <w:rsid w:val="00A14442"/>
    <w:rsid w:val="00A1547C"/>
    <w:rsid w:val="00A16035"/>
    <w:rsid w:val="00A1683D"/>
    <w:rsid w:val="00A21206"/>
    <w:rsid w:val="00A21DA4"/>
    <w:rsid w:val="00A22F0E"/>
    <w:rsid w:val="00A258BA"/>
    <w:rsid w:val="00A32F96"/>
    <w:rsid w:val="00A3339E"/>
    <w:rsid w:val="00A3358E"/>
    <w:rsid w:val="00A33615"/>
    <w:rsid w:val="00A3576D"/>
    <w:rsid w:val="00A35B5E"/>
    <w:rsid w:val="00A36C30"/>
    <w:rsid w:val="00A3728C"/>
    <w:rsid w:val="00A37A79"/>
    <w:rsid w:val="00A40F4A"/>
    <w:rsid w:val="00A419EA"/>
    <w:rsid w:val="00A41D17"/>
    <w:rsid w:val="00A42EE4"/>
    <w:rsid w:val="00A44AB6"/>
    <w:rsid w:val="00A45B9A"/>
    <w:rsid w:val="00A4624A"/>
    <w:rsid w:val="00A46777"/>
    <w:rsid w:val="00A47731"/>
    <w:rsid w:val="00A47AB8"/>
    <w:rsid w:val="00A47F50"/>
    <w:rsid w:val="00A511BB"/>
    <w:rsid w:val="00A512D7"/>
    <w:rsid w:val="00A51373"/>
    <w:rsid w:val="00A513A9"/>
    <w:rsid w:val="00A52B7E"/>
    <w:rsid w:val="00A55A04"/>
    <w:rsid w:val="00A55D6F"/>
    <w:rsid w:val="00A5602F"/>
    <w:rsid w:val="00A563CB"/>
    <w:rsid w:val="00A61D2E"/>
    <w:rsid w:val="00A623FA"/>
    <w:rsid w:val="00A62664"/>
    <w:rsid w:val="00A63A39"/>
    <w:rsid w:val="00A641B3"/>
    <w:rsid w:val="00A642DD"/>
    <w:rsid w:val="00A64977"/>
    <w:rsid w:val="00A6640B"/>
    <w:rsid w:val="00A66E1C"/>
    <w:rsid w:val="00A7252A"/>
    <w:rsid w:val="00A72827"/>
    <w:rsid w:val="00A72F82"/>
    <w:rsid w:val="00A73DEE"/>
    <w:rsid w:val="00A75DFD"/>
    <w:rsid w:val="00A760D7"/>
    <w:rsid w:val="00A77575"/>
    <w:rsid w:val="00A77686"/>
    <w:rsid w:val="00A83323"/>
    <w:rsid w:val="00A833F8"/>
    <w:rsid w:val="00A83B20"/>
    <w:rsid w:val="00A83B76"/>
    <w:rsid w:val="00A84377"/>
    <w:rsid w:val="00A84AEC"/>
    <w:rsid w:val="00A85324"/>
    <w:rsid w:val="00A86793"/>
    <w:rsid w:val="00A87D06"/>
    <w:rsid w:val="00A87FBB"/>
    <w:rsid w:val="00A90073"/>
    <w:rsid w:val="00A906D0"/>
    <w:rsid w:val="00A90A9B"/>
    <w:rsid w:val="00A91E8A"/>
    <w:rsid w:val="00A93320"/>
    <w:rsid w:val="00A93C65"/>
    <w:rsid w:val="00A94244"/>
    <w:rsid w:val="00A96AF0"/>
    <w:rsid w:val="00A96FE5"/>
    <w:rsid w:val="00A97B5F"/>
    <w:rsid w:val="00AA3BEE"/>
    <w:rsid w:val="00AA591C"/>
    <w:rsid w:val="00AA7408"/>
    <w:rsid w:val="00AA7C41"/>
    <w:rsid w:val="00AA7F7D"/>
    <w:rsid w:val="00AB0221"/>
    <w:rsid w:val="00AB0D42"/>
    <w:rsid w:val="00AB0E34"/>
    <w:rsid w:val="00AB3D77"/>
    <w:rsid w:val="00AB4244"/>
    <w:rsid w:val="00AB4301"/>
    <w:rsid w:val="00AB669D"/>
    <w:rsid w:val="00AB7BF5"/>
    <w:rsid w:val="00AC1A92"/>
    <w:rsid w:val="00AC1E3F"/>
    <w:rsid w:val="00AC2F6F"/>
    <w:rsid w:val="00AC3F93"/>
    <w:rsid w:val="00AC452B"/>
    <w:rsid w:val="00AC473F"/>
    <w:rsid w:val="00AC6418"/>
    <w:rsid w:val="00AC6E6F"/>
    <w:rsid w:val="00AC7428"/>
    <w:rsid w:val="00AC76EC"/>
    <w:rsid w:val="00AD0F16"/>
    <w:rsid w:val="00AD1821"/>
    <w:rsid w:val="00AD5C36"/>
    <w:rsid w:val="00AD5C80"/>
    <w:rsid w:val="00AD7864"/>
    <w:rsid w:val="00AE01DA"/>
    <w:rsid w:val="00AE0B1E"/>
    <w:rsid w:val="00AE1A64"/>
    <w:rsid w:val="00AE2401"/>
    <w:rsid w:val="00AE2CC4"/>
    <w:rsid w:val="00AE3F29"/>
    <w:rsid w:val="00AE4593"/>
    <w:rsid w:val="00AE4E54"/>
    <w:rsid w:val="00AE7138"/>
    <w:rsid w:val="00AE7260"/>
    <w:rsid w:val="00AE7B6B"/>
    <w:rsid w:val="00AE7B78"/>
    <w:rsid w:val="00AF1C5F"/>
    <w:rsid w:val="00AF27D3"/>
    <w:rsid w:val="00AF2A3A"/>
    <w:rsid w:val="00AF3106"/>
    <w:rsid w:val="00AF37A8"/>
    <w:rsid w:val="00AF4342"/>
    <w:rsid w:val="00AF69C2"/>
    <w:rsid w:val="00AF71AB"/>
    <w:rsid w:val="00B001AD"/>
    <w:rsid w:val="00B0217F"/>
    <w:rsid w:val="00B02C2F"/>
    <w:rsid w:val="00B02CD0"/>
    <w:rsid w:val="00B03EFD"/>
    <w:rsid w:val="00B056AC"/>
    <w:rsid w:val="00B0638F"/>
    <w:rsid w:val="00B0696C"/>
    <w:rsid w:val="00B07655"/>
    <w:rsid w:val="00B07F6C"/>
    <w:rsid w:val="00B1048A"/>
    <w:rsid w:val="00B10BFD"/>
    <w:rsid w:val="00B11037"/>
    <w:rsid w:val="00B116CC"/>
    <w:rsid w:val="00B11721"/>
    <w:rsid w:val="00B123CF"/>
    <w:rsid w:val="00B1281C"/>
    <w:rsid w:val="00B13E6F"/>
    <w:rsid w:val="00B15FA0"/>
    <w:rsid w:val="00B16039"/>
    <w:rsid w:val="00B1747E"/>
    <w:rsid w:val="00B201DC"/>
    <w:rsid w:val="00B20CA7"/>
    <w:rsid w:val="00B232B4"/>
    <w:rsid w:val="00B23677"/>
    <w:rsid w:val="00B23730"/>
    <w:rsid w:val="00B23A07"/>
    <w:rsid w:val="00B2440C"/>
    <w:rsid w:val="00B251C2"/>
    <w:rsid w:val="00B2626C"/>
    <w:rsid w:val="00B26F25"/>
    <w:rsid w:val="00B277B2"/>
    <w:rsid w:val="00B308DD"/>
    <w:rsid w:val="00B328D6"/>
    <w:rsid w:val="00B34304"/>
    <w:rsid w:val="00B34690"/>
    <w:rsid w:val="00B362FB"/>
    <w:rsid w:val="00B36F5B"/>
    <w:rsid w:val="00B37BA1"/>
    <w:rsid w:val="00B37BB4"/>
    <w:rsid w:val="00B40AE9"/>
    <w:rsid w:val="00B4139E"/>
    <w:rsid w:val="00B417BD"/>
    <w:rsid w:val="00B41C0C"/>
    <w:rsid w:val="00B4214D"/>
    <w:rsid w:val="00B42938"/>
    <w:rsid w:val="00B43C6E"/>
    <w:rsid w:val="00B44CEF"/>
    <w:rsid w:val="00B452B0"/>
    <w:rsid w:val="00B46B92"/>
    <w:rsid w:val="00B46B9D"/>
    <w:rsid w:val="00B4705E"/>
    <w:rsid w:val="00B4771D"/>
    <w:rsid w:val="00B50924"/>
    <w:rsid w:val="00B5145D"/>
    <w:rsid w:val="00B51C51"/>
    <w:rsid w:val="00B52990"/>
    <w:rsid w:val="00B53E43"/>
    <w:rsid w:val="00B5565B"/>
    <w:rsid w:val="00B562C6"/>
    <w:rsid w:val="00B56BF5"/>
    <w:rsid w:val="00B571A4"/>
    <w:rsid w:val="00B572A3"/>
    <w:rsid w:val="00B603F4"/>
    <w:rsid w:val="00B61B2C"/>
    <w:rsid w:val="00B621B9"/>
    <w:rsid w:val="00B63157"/>
    <w:rsid w:val="00B6402D"/>
    <w:rsid w:val="00B649C8"/>
    <w:rsid w:val="00B65330"/>
    <w:rsid w:val="00B659EB"/>
    <w:rsid w:val="00B65FA3"/>
    <w:rsid w:val="00B66435"/>
    <w:rsid w:val="00B665E1"/>
    <w:rsid w:val="00B66948"/>
    <w:rsid w:val="00B66F8D"/>
    <w:rsid w:val="00B670D5"/>
    <w:rsid w:val="00B671DA"/>
    <w:rsid w:val="00B67446"/>
    <w:rsid w:val="00B674F3"/>
    <w:rsid w:val="00B67E17"/>
    <w:rsid w:val="00B7208D"/>
    <w:rsid w:val="00B731E8"/>
    <w:rsid w:val="00B73430"/>
    <w:rsid w:val="00B74EA6"/>
    <w:rsid w:val="00B75696"/>
    <w:rsid w:val="00B75A2D"/>
    <w:rsid w:val="00B772A0"/>
    <w:rsid w:val="00B80198"/>
    <w:rsid w:val="00B81EB6"/>
    <w:rsid w:val="00B820A8"/>
    <w:rsid w:val="00B83AFF"/>
    <w:rsid w:val="00B84073"/>
    <w:rsid w:val="00B84555"/>
    <w:rsid w:val="00B84B18"/>
    <w:rsid w:val="00B86B40"/>
    <w:rsid w:val="00B876C0"/>
    <w:rsid w:val="00B87A56"/>
    <w:rsid w:val="00B9307F"/>
    <w:rsid w:val="00B956D4"/>
    <w:rsid w:val="00B959B6"/>
    <w:rsid w:val="00B95C56"/>
    <w:rsid w:val="00B97ADF"/>
    <w:rsid w:val="00B97BB7"/>
    <w:rsid w:val="00BA0459"/>
    <w:rsid w:val="00BA096A"/>
    <w:rsid w:val="00BA17AB"/>
    <w:rsid w:val="00BA5598"/>
    <w:rsid w:val="00BA5613"/>
    <w:rsid w:val="00BA6BA4"/>
    <w:rsid w:val="00BB049D"/>
    <w:rsid w:val="00BB09AD"/>
    <w:rsid w:val="00BB110F"/>
    <w:rsid w:val="00BB36C9"/>
    <w:rsid w:val="00BB41D2"/>
    <w:rsid w:val="00BB4D8C"/>
    <w:rsid w:val="00BB5381"/>
    <w:rsid w:val="00BB53FF"/>
    <w:rsid w:val="00BB5B46"/>
    <w:rsid w:val="00BB6ECB"/>
    <w:rsid w:val="00BB7721"/>
    <w:rsid w:val="00BC01CF"/>
    <w:rsid w:val="00BC03BA"/>
    <w:rsid w:val="00BC29A8"/>
    <w:rsid w:val="00BC5B9E"/>
    <w:rsid w:val="00BC730B"/>
    <w:rsid w:val="00BD1292"/>
    <w:rsid w:val="00BD1852"/>
    <w:rsid w:val="00BD3200"/>
    <w:rsid w:val="00BD376E"/>
    <w:rsid w:val="00BD3D78"/>
    <w:rsid w:val="00BD3E8D"/>
    <w:rsid w:val="00BD402A"/>
    <w:rsid w:val="00BD425A"/>
    <w:rsid w:val="00BD42F3"/>
    <w:rsid w:val="00BD5EB2"/>
    <w:rsid w:val="00BE0350"/>
    <w:rsid w:val="00BE176B"/>
    <w:rsid w:val="00BE2C0C"/>
    <w:rsid w:val="00BE3452"/>
    <w:rsid w:val="00BE51D6"/>
    <w:rsid w:val="00BE51E5"/>
    <w:rsid w:val="00BE6045"/>
    <w:rsid w:val="00BF0B0B"/>
    <w:rsid w:val="00BF1155"/>
    <w:rsid w:val="00BF28C1"/>
    <w:rsid w:val="00BF29CD"/>
    <w:rsid w:val="00BF4F90"/>
    <w:rsid w:val="00BF6122"/>
    <w:rsid w:val="00C004CA"/>
    <w:rsid w:val="00C00828"/>
    <w:rsid w:val="00C00AFA"/>
    <w:rsid w:val="00C01287"/>
    <w:rsid w:val="00C01557"/>
    <w:rsid w:val="00C01EAE"/>
    <w:rsid w:val="00C02447"/>
    <w:rsid w:val="00C04FF8"/>
    <w:rsid w:val="00C050E3"/>
    <w:rsid w:val="00C056ED"/>
    <w:rsid w:val="00C05709"/>
    <w:rsid w:val="00C07A5D"/>
    <w:rsid w:val="00C11FFD"/>
    <w:rsid w:val="00C120E0"/>
    <w:rsid w:val="00C12D8F"/>
    <w:rsid w:val="00C12FEF"/>
    <w:rsid w:val="00C13F19"/>
    <w:rsid w:val="00C15C14"/>
    <w:rsid w:val="00C163F5"/>
    <w:rsid w:val="00C1726B"/>
    <w:rsid w:val="00C17468"/>
    <w:rsid w:val="00C1770B"/>
    <w:rsid w:val="00C208DA"/>
    <w:rsid w:val="00C2095F"/>
    <w:rsid w:val="00C22038"/>
    <w:rsid w:val="00C227C2"/>
    <w:rsid w:val="00C27408"/>
    <w:rsid w:val="00C2762B"/>
    <w:rsid w:val="00C27C51"/>
    <w:rsid w:val="00C311C6"/>
    <w:rsid w:val="00C3372B"/>
    <w:rsid w:val="00C33AAA"/>
    <w:rsid w:val="00C33D80"/>
    <w:rsid w:val="00C35F7A"/>
    <w:rsid w:val="00C36589"/>
    <w:rsid w:val="00C36AB7"/>
    <w:rsid w:val="00C36FEE"/>
    <w:rsid w:val="00C37869"/>
    <w:rsid w:val="00C379EA"/>
    <w:rsid w:val="00C37ABD"/>
    <w:rsid w:val="00C40409"/>
    <w:rsid w:val="00C4197D"/>
    <w:rsid w:val="00C41A9A"/>
    <w:rsid w:val="00C41C65"/>
    <w:rsid w:val="00C45FBA"/>
    <w:rsid w:val="00C461A4"/>
    <w:rsid w:val="00C4639C"/>
    <w:rsid w:val="00C466FA"/>
    <w:rsid w:val="00C47346"/>
    <w:rsid w:val="00C476FF"/>
    <w:rsid w:val="00C47B5F"/>
    <w:rsid w:val="00C506CF"/>
    <w:rsid w:val="00C506EA"/>
    <w:rsid w:val="00C5121C"/>
    <w:rsid w:val="00C5177C"/>
    <w:rsid w:val="00C5261F"/>
    <w:rsid w:val="00C55CC1"/>
    <w:rsid w:val="00C575E3"/>
    <w:rsid w:val="00C601AE"/>
    <w:rsid w:val="00C60907"/>
    <w:rsid w:val="00C61861"/>
    <w:rsid w:val="00C633AC"/>
    <w:rsid w:val="00C6400B"/>
    <w:rsid w:val="00C647CA"/>
    <w:rsid w:val="00C64BA2"/>
    <w:rsid w:val="00C666A0"/>
    <w:rsid w:val="00C71630"/>
    <w:rsid w:val="00C72AE4"/>
    <w:rsid w:val="00C72DEC"/>
    <w:rsid w:val="00C749C3"/>
    <w:rsid w:val="00C762B8"/>
    <w:rsid w:val="00C81794"/>
    <w:rsid w:val="00C82AE7"/>
    <w:rsid w:val="00C84984"/>
    <w:rsid w:val="00C85AEA"/>
    <w:rsid w:val="00C86298"/>
    <w:rsid w:val="00C90CDE"/>
    <w:rsid w:val="00C91576"/>
    <w:rsid w:val="00C91642"/>
    <w:rsid w:val="00C91BDE"/>
    <w:rsid w:val="00C91CD3"/>
    <w:rsid w:val="00C92B8E"/>
    <w:rsid w:val="00C938AD"/>
    <w:rsid w:val="00C94517"/>
    <w:rsid w:val="00C955F4"/>
    <w:rsid w:val="00CA1B68"/>
    <w:rsid w:val="00CA2355"/>
    <w:rsid w:val="00CA2F95"/>
    <w:rsid w:val="00CA3B61"/>
    <w:rsid w:val="00CA4BDB"/>
    <w:rsid w:val="00CA6959"/>
    <w:rsid w:val="00CB1377"/>
    <w:rsid w:val="00CB1506"/>
    <w:rsid w:val="00CB1EA1"/>
    <w:rsid w:val="00CB3D0A"/>
    <w:rsid w:val="00CB47CC"/>
    <w:rsid w:val="00CB53BF"/>
    <w:rsid w:val="00CB5CF7"/>
    <w:rsid w:val="00CB6ACD"/>
    <w:rsid w:val="00CC04E4"/>
    <w:rsid w:val="00CC0537"/>
    <w:rsid w:val="00CC0C25"/>
    <w:rsid w:val="00CC0EA6"/>
    <w:rsid w:val="00CC2347"/>
    <w:rsid w:val="00CC459D"/>
    <w:rsid w:val="00CC4A72"/>
    <w:rsid w:val="00CC4AE5"/>
    <w:rsid w:val="00CC6CBA"/>
    <w:rsid w:val="00CD05D2"/>
    <w:rsid w:val="00CD3CB8"/>
    <w:rsid w:val="00CD4E00"/>
    <w:rsid w:val="00CD506B"/>
    <w:rsid w:val="00CD554D"/>
    <w:rsid w:val="00CD5B84"/>
    <w:rsid w:val="00CD7023"/>
    <w:rsid w:val="00CD7239"/>
    <w:rsid w:val="00CD7605"/>
    <w:rsid w:val="00CD7B79"/>
    <w:rsid w:val="00CE0150"/>
    <w:rsid w:val="00CE11A2"/>
    <w:rsid w:val="00CE1CBD"/>
    <w:rsid w:val="00CE2DDD"/>
    <w:rsid w:val="00CE2F09"/>
    <w:rsid w:val="00CE3F78"/>
    <w:rsid w:val="00CE4A0E"/>
    <w:rsid w:val="00CE4E28"/>
    <w:rsid w:val="00CE567A"/>
    <w:rsid w:val="00CE64C3"/>
    <w:rsid w:val="00CF0B3B"/>
    <w:rsid w:val="00CF0B7E"/>
    <w:rsid w:val="00CF1FD3"/>
    <w:rsid w:val="00CF254B"/>
    <w:rsid w:val="00CF25CC"/>
    <w:rsid w:val="00CF29B3"/>
    <w:rsid w:val="00CF2F5C"/>
    <w:rsid w:val="00CF2F89"/>
    <w:rsid w:val="00CF3774"/>
    <w:rsid w:val="00CF3EA3"/>
    <w:rsid w:val="00CF4CF9"/>
    <w:rsid w:val="00CF4D03"/>
    <w:rsid w:val="00CF4DCE"/>
    <w:rsid w:val="00CF60EA"/>
    <w:rsid w:val="00D0005D"/>
    <w:rsid w:val="00D0138B"/>
    <w:rsid w:val="00D015D5"/>
    <w:rsid w:val="00D0188D"/>
    <w:rsid w:val="00D01DA6"/>
    <w:rsid w:val="00D01E1E"/>
    <w:rsid w:val="00D04224"/>
    <w:rsid w:val="00D06FCA"/>
    <w:rsid w:val="00D1012E"/>
    <w:rsid w:val="00D114C7"/>
    <w:rsid w:val="00D12581"/>
    <w:rsid w:val="00D1409D"/>
    <w:rsid w:val="00D141E3"/>
    <w:rsid w:val="00D15492"/>
    <w:rsid w:val="00D16864"/>
    <w:rsid w:val="00D236F7"/>
    <w:rsid w:val="00D241E7"/>
    <w:rsid w:val="00D24430"/>
    <w:rsid w:val="00D24EAE"/>
    <w:rsid w:val="00D25E13"/>
    <w:rsid w:val="00D302A0"/>
    <w:rsid w:val="00D3038C"/>
    <w:rsid w:val="00D3126F"/>
    <w:rsid w:val="00D319AE"/>
    <w:rsid w:val="00D3321C"/>
    <w:rsid w:val="00D3346F"/>
    <w:rsid w:val="00D33B89"/>
    <w:rsid w:val="00D33EC1"/>
    <w:rsid w:val="00D34581"/>
    <w:rsid w:val="00D34699"/>
    <w:rsid w:val="00D35E7B"/>
    <w:rsid w:val="00D3690E"/>
    <w:rsid w:val="00D369A0"/>
    <w:rsid w:val="00D371C0"/>
    <w:rsid w:val="00D37B92"/>
    <w:rsid w:val="00D400DD"/>
    <w:rsid w:val="00D40A99"/>
    <w:rsid w:val="00D41647"/>
    <w:rsid w:val="00D419BC"/>
    <w:rsid w:val="00D446D0"/>
    <w:rsid w:val="00D44882"/>
    <w:rsid w:val="00D47312"/>
    <w:rsid w:val="00D50293"/>
    <w:rsid w:val="00D522A6"/>
    <w:rsid w:val="00D5268C"/>
    <w:rsid w:val="00D52B6B"/>
    <w:rsid w:val="00D535AC"/>
    <w:rsid w:val="00D54F7E"/>
    <w:rsid w:val="00D55C39"/>
    <w:rsid w:val="00D55DC4"/>
    <w:rsid w:val="00D569EB"/>
    <w:rsid w:val="00D57B67"/>
    <w:rsid w:val="00D60CAE"/>
    <w:rsid w:val="00D60FC5"/>
    <w:rsid w:val="00D62C29"/>
    <w:rsid w:val="00D6310D"/>
    <w:rsid w:val="00D63931"/>
    <w:rsid w:val="00D665DD"/>
    <w:rsid w:val="00D6679A"/>
    <w:rsid w:val="00D66F66"/>
    <w:rsid w:val="00D677F0"/>
    <w:rsid w:val="00D6795F"/>
    <w:rsid w:val="00D67B39"/>
    <w:rsid w:val="00D71BF8"/>
    <w:rsid w:val="00D730FE"/>
    <w:rsid w:val="00D733CA"/>
    <w:rsid w:val="00D73433"/>
    <w:rsid w:val="00D748AC"/>
    <w:rsid w:val="00D75DC9"/>
    <w:rsid w:val="00D75FF5"/>
    <w:rsid w:val="00D763F9"/>
    <w:rsid w:val="00D779CB"/>
    <w:rsid w:val="00D80901"/>
    <w:rsid w:val="00D80A4B"/>
    <w:rsid w:val="00D82435"/>
    <w:rsid w:val="00D831F9"/>
    <w:rsid w:val="00D86917"/>
    <w:rsid w:val="00D90455"/>
    <w:rsid w:val="00D91A01"/>
    <w:rsid w:val="00D91A69"/>
    <w:rsid w:val="00D922CE"/>
    <w:rsid w:val="00D925E0"/>
    <w:rsid w:val="00D95947"/>
    <w:rsid w:val="00D97E24"/>
    <w:rsid w:val="00DA08EF"/>
    <w:rsid w:val="00DA0AFC"/>
    <w:rsid w:val="00DA3335"/>
    <w:rsid w:val="00DA33EC"/>
    <w:rsid w:val="00DA526D"/>
    <w:rsid w:val="00DA52A4"/>
    <w:rsid w:val="00DA578F"/>
    <w:rsid w:val="00DA644D"/>
    <w:rsid w:val="00DB1F37"/>
    <w:rsid w:val="00DB2584"/>
    <w:rsid w:val="00DB3761"/>
    <w:rsid w:val="00DB451C"/>
    <w:rsid w:val="00DB5211"/>
    <w:rsid w:val="00DB5513"/>
    <w:rsid w:val="00DB7638"/>
    <w:rsid w:val="00DC04D4"/>
    <w:rsid w:val="00DC3D68"/>
    <w:rsid w:val="00DC45BF"/>
    <w:rsid w:val="00DC54CE"/>
    <w:rsid w:val="00DC593B"/>
    <w:rsid w:val="00DC6F1F"/>
    <w:rsid w:val="00DC7513"/>
    <w:rsid w:val="00DD0267"/>
    <w:rsid w:val="00DD06CF"/>
    <w:rsid w:val="00DD22AD"/>
    <w:rsid w:val="00DD3BD4"/>
    <w:rsid w:val="00DD45C5"/>
    <w:rsid w:val="00DD5261"/>
    <w:rsid w:val="00DD6538"/>
    <w:rsid w:val="00DD7E8C"/>
    <w:rsid w:val="00DE042F"/>
    <w:rsid w:val="00DE3274"/>
    <w:rsid w:val="00DE407D"/>
    <w:rsid w:val="00DE4CAD"/>
    <w:rsid w:val="00DE6D26"/>
    <w:rsid w:val="00DE6DDA"/>
    <w:rsid w:val="00DE6E96"/>
    <w:rsid w:val="00DE756C"/>
    <w:rsid w:val="00DE7CB5"/>
    <w:rsid w:val="00DF1171"/>
    <w:rsid w:val="00DF1197"/>
    <w:rsid w:val="00DF1922"/>
    <w:rsid w:val="00DF2FB8"/>
    <w:rsid w:val="00DF4E0F"/>
    <w:rsid w:val="00DF4F6E"/>
    <w:rsid w:val="00DF502C"/>
    <w:rsid w:val="00DF5426"/>
    <w:rsid w:val="00DF6062"/>
    <w:rsid w:val="00E0196C"/>
    <w:rsid w:val="00E01E0E"/>
    <w:rsid w:val="00E02D97"/>
    <w:rsid w:val="00E042C4"/>
    <w:rsid w:val="00E05B84"/>
    <w:rsid w:val="00E060A0"/>
    <w:rsid w:val="00E075BC"/>
    <w:rsid w:val="00E10C34"/>
    <w:rsid w:val="00E15875"/>
    <w:rsid w:val="00E17038"/>
    <w:rsid w:val="00E17F66"/>
    <w:rsid w:val="00E20A3A"/>
    <w:rsid w:val="00E20ED9"/>
    <w:rsid w:val="00E21D1A"/>
    <w:rsid w:val="00E24002"/>
    <w:rsid w:val="00E2440E"/>
    <w:rsid w:val="00E24908"/>
    <w:rsid w:val="00E24CE8"/>
    <w:rsid w:val="00E251F5"/>
    <w:rsid w:val="00E33980"/>
    <w:rsid w:val="00E33CED"/>
    <w:rsid w:val="00E33D44"/>
    <w:rsid w:val="00E34490"/>
    <w:rsid w:val="00E34B0F"/>
    <w:rsid w:val="00E35182"/>
    <w:rsid w:val="00E352AB"/>
    <w:rsid w:val="00E3774C"/>
    <w:rsid w:val="00E37BD5"/>
    <w:rsid w:val="00E37D7D"/>
    <w:rsid w:val="00E40B05"/>
    <w:rsid w:val="00E43F9A"/>
    <w:rsid w:val="00E45724"/>
    <w:rsid w:val="00E47836"/>
    <w:rsid w:val="00E47DC1"/>
    <w:rsid w:val="00E504D3"/>
    <w:rsid w:val="00E51081"/>
    <w:rsid w:val="00E5136C"/>
    <w:rsid w:val="00E54583"/>
    <w:rsid w:val="00E553C9"/>
    <w:rsid w:val="00E55B8F"/>
    <w:rsid w:val="00E61B81"/>
    <w:rsid w:val="00E62720"/>
    <w:rsid w:val="00E63AA2"/>
    <w:rsid w:val="00E63B93"/>
    <w:rsid w:val="00E65B2A"/>
    <w:rsid w:val="00E65B2E"/>
    <w:rsid w:val="00E65D4B"/>
    <w:rsid w:val="00E70670"/>
    <w:rsid w:val="00E718A6"/>
    <w:rsid w:val="00E71999"/>
    <w:rsid w:val="00E72EF0"/>
    <w:rsid w:val="00E750F4"/>
    <w:rsid w:val="00E75FB0"/>
    <w:rsid w:val="00E7609B"/>
    <w:rsid w:val="00E767D1"/>
    <w:rsid w:val="00E76E4C"/>
    <w:rsid w:val="00E82303"/>
    <w:rsid w:val="00E847C5"/>
    <w:rsid w:val="00E85606"/>
    <w:rsid w:val="00E86452"/>
    <w:rsid w:val="00E86764"/>
    <w:rsid w:val="00E87C51"/>
    <w:rsid w:val="00E87EF4"/>
    <w:rsid w:val="00E91A39"/>
    <w:rsid w:val="00E920CF"/>
    <w:rsid w:val="00E938BC"/>
    <w:rsid w:val="00E93AF3"/>
    <w:rsid w:val="00E94235"/>
    <w:rsid w:val="00E9530C"/>
    <w:rsid w:val="00E970A4"/>
    <w:rsid w:val="00EA0457"/>
    <w:rsid w:val="00EA0D58"/>
    <w:rsid w:val="00EA2932"/>
    <w:rsid w:val="00EA3F59"/>
    <w:rsid w:val="00EA4222"/>
    <w:rsid w:val="00EA441A"/>
    <w:rsid w:val="00EA4626"/>
    <w:rsid w:val="00EA4CF9"/>
    <w:rsid w:val="00EA5AC9"/>
    <w:rsid w:val="00EA6F65"/>
    <w:rsid w:val="00EA71C5"/>
    <w:rsid w:val="00EA79E0"/>
    <w:rsid w:val="00EB236A"/>
    <w:rsid w:val="00EB236B"/>
    <w:rsid w:val="00EB3170"/>
    <w:rsid w:val="00EB3FEA"/>
    <w:rsid w:val="00EB42D8"/>
    <w:rsid w:val="00EC07C2"/>
    <w:rsid w:val="00EC18C4"/>
    <w:rsid w:val="00EC5CE2"/>
    <w:rsid w:val="00ED00B1"/>
    <w:rsid w:val="00ED0B85"/>
    <w:rsid w:val="00ED200C"/>
    <w:rsid w:val="00ED244D"/>
    <w:rsid w:val="00ED2A6A"/>
    <w:rsid w:val="00ED2DD4"/>
    <w:rsid w:val="00ED51A8"/>
    <w:rsid w:val="00ED5A5A"/>
    <w:rsid w:val="00ED69DF"/>
    <w:rsid w:val="00ED7DC2"/>
    <w:rsid w:val="00EE2082"/>
    <w:rsid w:val="00EE20F9"/>
    <w:rsid w:val="00EF0141"/>
    <w:rsid w:val="00EF2D70"/>
    <w:rsid w:val="00EF2F5D"/>
    <w:rsid w:val="00EF3366"/>
    <w:rsid w:val="00EF5197"/>
    <w:rsid w:val="00EF7D16"/>
    <w:rsid w:val="00F003F0"/>
    <w:rsid w:val="00F004CD"/>
    <w:rsid w:val="00F006CA"/>
    <w:rsid w:val="00F02C6B"/>
    <w:rsid w:val="00F039CF"/>
    <w:rsid w:val="00F04963"/>
    <w:rsid w:val="00F04C8E"/>
    <w:rsid w:val="00F05259"/>
    <w:rsid w:val="00F05661"/>
    <w:rsid w:val="00F06EC7"/>
    <w:rsid w:val="00F072E7"/>
    <w:rsid w:val="00F108F5"/>
    <w:rsid w:val="00F10AB6"/>
    <w:rsid w:val="00F1201F"/>
    <w:rsid w:val="00F13396"/>
    <w:rsid w:val="00F13A5C"/>
    <w:rsid w:val="00F14CF3"/>
    <w:rsid w:val="00F165AD"/>
    <w:rsid w:val="00F16E4A"/>
    <w:rsid w:val="00F16E7E"/>
    <w:rsid w:val="00F20285"/>
    <w:rsid w:val="00F20BC1"/>
    <w:rsid w:val="00F20CA6"/>
    <w:rsid w:val="00F21EF9"/>
    <w:rsid w:val="00F22E07"/>
    <w:rsid w:val="00F253D5"/>
    <w:rsid w:val="00F260F7"/>
    <w:rsid w:val="00F26822"/>
    <w:rsid w:val="00F3054E"/>
    <w:rsid w:val="00F30997"/>
    <w:rsid w:val="00F30B96"/>
    <w:rsid w:val="00F314EC"/>
    <w:rsid w:val="00F3179C"/>
    <w:rsid w:val="00F31893"/>
    <w:rsid w:val="00F336B9"/>
    <w:rsid w:val="00F337A5"/>
    <w:rsid w:val="00F339EB"/>
    <w:rsid w:val="00F3481F"/>
    <w:rsid w:val="00F35859"/>
    <w:rsid w:val="00F372D8"/>
    <w:rsid w:val="00F37B3B"/>
    <w:rsid w:val="00F43E97"/>
    <w:rsid w:val="00F44EE3"/>
    <w:rsid w:val="00F45FDE"/>
    <w:rsid w:val="00F472DB"/>
    <w:rsid w:val="00F5075C"/>
    <w:rsid w:val="00F5084C"/>
    <w:rsid w:val="00F50F4E"/>
    <w:rsid w:val="00F51A24"/>
    <w:rsid w:val="00F53C27"/>
    <w:rsid w:val="00F546BC"/>
    <w:rsid w:val="00F56725"/>
    <w:rsid w:val="00F60235"/>
    <w:rsid w:val="00F6149D"/>
    <w:rsid w:val="00F61504"/>
    <w:rsid w:val="00F6285B"/>
    <w:rsid w:val="00F64521"/>
    <w:rsid w:val="00F65AC3"/>
    <w:rsid w:val="00F65F32"/>
    <w:rsid w:val="00F714FF"/>
    <w:rsid w:val="00F72021"/>
    <w:rsid w:val="00F72CFF"/>
    <w:rsid w:val="00F73201"/>
    <w:rsid w:val="00F763B6"/>
    <w:rsid w:val="00F7685F"/>
    <w:rsid w:val="00F7767F"/>
    <w:rsid w:val="00F779A5"/>
    <w:rsid w:val="00F77D07"/>
    <w:rsid w:val="00F818BE"/>
    <w:rsid w:val="00F831E8"/>
    <w:rsid w:val="00F84301"/>
    <w:rsid w:val="00F84669"/>
    <w:rsid w:val="00F8483C"/>
    <w:rsid w:val="00F850AD"/>
    <w:rsid w:val="00F8641E"/>
    <w:rsid w:val="00F86A12"/>
    <w:rsid w:val="00F86E42"/>
    <w:rsid w:val="00F86E66"/>
    <w:rsid w:val="00F87341"/>
    <w:rsid w:val="00F873B0"/>
    <w:rsid w:val="00F87AAD"/>
    <w:rsid w:val="00F938F9"/>
    <w:rsid w:val="00F93E03"/>
    <w:rsid w:val="00F946C9"/>
    <w:rsid w:val="00F94E65"/>
    <w:rsid w:val="00F9647E"/>
    <w:rsid w:val="00FA1F4C"/>
    <w:rsid w:val="00FA2E75"/>
    <w:rsid w:val="00FA2E94"/>
    <w:rsid w:val="00FA495C"/>
    <w:rsid w:val="00FA4B49"/>
    <w:rsid w:val="00FA4DA6"/>
    <w:rsid w:val="00FA5704"/>
    <w:rsid w:val="00FA7B3F"/>
    <w:rsid w:val="00FB0028"/>
    <w:rsid w:val="00FB1A2D"/>
    <w:rsid w:val="00FB2788"/>
    <w:rsid w:val="00FB2EFC"/>
    <w:rsid w:val="00FB3151"/>
    <w:rsid w:val="00FB4308"/>
    <w:rsid w:val="00FB4706"/>
    <w:rsid w:val="00FB490F"/>
    <w:rsid w:val="00FB5A68"/>
    <w:rsid w:val="00FC01D5"/>
    <w:rsid w:val="00FC032E"/>
    <w:rsid w:val="00FC2233"/>
    <w:rsid w:val="00FC36FA"/>
    <w:rsid w:val="00FC3CA2"/>
    <w:rsid w:val="00FC573A"/>
    <w:rsid w:val="00FC5BB9"/>
    <w:rsid w:val="00FD1D90"/>
    <w:rsid w:val="00FD259F"/>
    <w:rsid w:val="00FE0B3A"/>
    <w:rsid w:val="00FE13B7"/>
    <w:rsid w:val="00FE2C64"/>
    <w:rsid w:val="00FE31A0"/>
    <w:rsid w:val="00FE3442"/>
    <w:rsid w:val="00FE3818"/>
    <w:rsid w:val="00FE393B"/>
    <w:rsid w:val="00FE3A56"/>
    <w:rsid w:val="00FE3F58"/>
    <w:rsid w:val="00FE4C8E"/>
    <w:rsid w:val="00FE57CD"/>
    <w:rsid w:val="00FE77E3"/>
    <w:rsid w:val="00FF1AED"/>
    <w:rsid w:val="00FF24CE"/>
    <w:rsid w:val="00FF337B"/>
    <w:rsid w:val="00FF3425"/>
    <w:rsid w:val="00FF4522"/>
    <w:rsid w:val="00FF48AA"/>
    <w:rsid w:val="00FF59DF"/>
    <w:rsid w:val="00FF64BB"/>
    <w:rsid w:val="00FF66B8"/>
    <w:rsid w:val="00FF6D7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6666B"/>
  <w15:docId w15:val="{1A8E3D92-66F6-4685-9BB7-B684145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customStyle="1" w:styleId="Default">
    <w:name w:val="Default"/>
    <w:rsid w:val="00923183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18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D3B3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D3B34"/>
    <w:rPr>
      <w:szCs w:val="25"/>
      <w:lang w:eastAsia="ko-KR"/>
    </w:rPr>
  </w:style>
  <w:style w:type="character" w:styleId="FootnoteReference">
    <w:name w:val="footnote reference"/>
    <w:basedOn w:val="DefaultParagraphFont"/>
    <w:semiHidden/>
    <w:unhideWhenUsed/>
    <w:rsid w:val="008D3B34"/>
    <w:rPr>
      <w:vertAlign w:val="superscript"/>
    </w:rPr>
  </w:style>
  <w:style w:type="paragraph" w:styleId="Revision">
    <w:name w:val="Revision"/>
    <w:hidden/>
    <w:uiPriority w:val="99"/>
    <w:semiHidden/>
    <w:rsid w:val="005010EF"/>
    <w:rPr>
      <w:sz w:val="24"/>
      <w:szCs w:val="28"/>
      <w:lang w:eastAsia="ko-KR"/>
    </w:rPr>
  </w:style>
  <w:style w:type="character" w:customStyle="1" w:styleId="ui-provider">
    <w:name w:val="ui-provider"/>
    <w:basedOn w:val="DefaultParagraphFont"/>
    <w:rsid w:val="00863035"/>
  </w:style>
  <w:style w:type="character" w:styleId="CommentReference">
    <w:name w:val="annotation reference"/>
    <w:basedOn w:val="DefaultParagraphFont"/>
    <w:semiHidden/>
    <w:unhideWhenUsed/>
    <w:rsid w:val="009D06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064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9D064E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64E"/>
    <w:rPr>
      <w:b/>
      <w:bCs/>
      <w:szCs w:val="25"/>
      <w:lang w:eastAsia="ko-KR"/>
    </w:rPr>
  </w:style>
  <w:style w:type="paragraph" w:styleId="NormalWeb">
    <w:name w:val="Normal (Web)"/>
    <w:basedOn w:val="Normal"/>
    <w:uiPriority w:val="99"/>
    <w:unhideWhenUsed/>
    <w:rsid w:val="009C3C31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50afef8-1910-4905-9443-0c8aff79324c" xsi:nil="true"/>
    <_Flow_SignoffStatus xmlns="cdcc1ef7-c4f7-4ae8-9fca-147dfd2717f1" xsi:nil="true"/>
    <lcf76f155ced4ddcb4097134ff3c332f xmlns="cdcc1ef7-c4f7-4ae8-9fca-147dfd2717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05158BDEC46928382330DB3CBC0" ma:contentTypeVersion="19" ma:contentTypeDescription="Create a new document." ma:contentTypeScope="" ma:versionID="c2b7cdc0a314ec029951b623b9170273">
  <xsd:schema xmlns:xsd="http://www.w3.org/2001/XMLSchema" xmlns:xs="http://www.w3.org/2001/XMLSchema" xmlns:p="http://schemas.microsoft.com/office/2006/metadata/properties" xmlns:ns1="http://schemas.microsoft.com/sharepoint/v3" xmlns:ns2="cdcc1ef7-c4f7-4ae8-9fca-147dfd2717f1" xmlns:ns3="a50afef8-1910-4905-9443-0c8aff79324c" targetNamespace="http://schemas.microsoft.com/office/2006/metadata/properties" ma:root="true" ma:fieldsID="01022b8c5ad47ac9e1679520335d371e" ns1:_="" ns2:_="" ns3:_="">
    <xsd:import namespace="http://schemas.microsoft.com/sharepoint/v3"/>
    <xsd:import namespace="cdcc1ef7-c4f7-4ae8-9fca-147dfd2717f1"/>
    <xsd:import namespace="a50afef8-1910-4905-9443-0c8aff793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c1ef7-c4f7-4ae8-9fca-147dfd2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afef8-1910-4905-9443-0c8aff793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3bc684-5af4-488c-8769-3e2b2a82088b}" ma:internalName="TaxCatchAll" ma:showField="CatchAllData" ma:web="a50afef8-1910-4905-9443-0c8aff793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49D8-A9DE-4B21-B443-95DA31F1E7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0afef8-1910-4905-9443-0c8aff79324c"/>
    <ds:schemaRef ds:uri="cdcc1ef7-c4f7-4ae8-9fca-147dfd2717f1"/>
  </ds:schemaRefs>
</ds:datastoreItem>
</file>

<file path=customXml/itemProps2.xml><?xml version="1.0" encoding="utf-8"?>
<ds:datastoreItem xmlns:ds="http://schemas.openxmlformats.org/officeDocument/2006/customXml" ds:itemID="{EDB605A3-792A-4302-9AB1-ED1C8198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F16CA-811E-416F-8CB5-D117CD848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cc1ef7-c4f7-4ae8-9fca-147dfd2717f1"/>
    <ds:schemaRef ds:uri="a50afef8-1910-4905-9443-0c8aff793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E1021-66D0-4673-95E7-ABD2D06800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ASCO-Bawornpan</cp:lastModifiedBy>
  <cp:revision>18</cp:revision>
  <cp:lastPrinted>2024-08-30T02:22:00Z</cp:lastPrinted>
  <dcterms:created xsi:type="dcterms:W3CDTF">2024-08-28T14:01:00Z</dcterms:created>
  <dcterms:modified xsi:type="dcterms:W3CDTF">2024-09-01T13:37:00Z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6a8438a859d99d9a0a5686fad47a72ada9cebb06f89556a7d4b16fefbd5cf0e6</vt:lpwstr>
  </property>
  <property fmtid="{D5CDD505-2E9C-101B-9397-08002B2CF9AE}" pid="3" name="ContentTypeId">
    <vt:lpwstr>0x0101002F02305158BDEC46928382330DB3CBC0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5,6,b</vt:lpwstr>
  </property>
  <property fmtid="{D5CDD505-2E9C-101B-9397-08002B2CF9AE}" pid="6" name="ClassificationContentMarkingFooterFontProps">
    <vt:lpwstr>#c0c0c0,12,Tahoma</vt:lpwstr>
  </property>
  <property fmtid="{D5CDD505-2E9C-101B-9397-08002B2CF9AE}" pid="7" name="ClassificationContentMarkingFooterText">
    <vt:lpwstr>SEC Classification : ใช้ภายใน (Internal) </vt:lpwstr>
  </property>
</Properties>
</file>